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FD03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F67C3">
              <w:rPr>
                <w:rFonts w:cstheme="minorHAnsi"/>
                <w:sz w:val="28"/>
                <w:szCs w:val="28"/>
                <w:lang w:val="en-US"/>
              </w:rPr>
              <w:t>823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2E03C8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F67C3">
              <w:rPr>
                <w:rFonts w:cstheme="minorHAnsi"/>
                <w:sz w:val="28"/>
                <w:szCs w:val="28"/>
                <w:lang w:val="en-US"/>
              </w:rPr>
              <w:t>823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F67C3" w:rsidRDefault="00DF67C3" w:rsidP="00226C30">
            <w:pPr>
              <w:cnfStyle w:val="000000000000"/>
              <w:rPr>
                <w:sz w:val="28"/>
                <w:szCs w:val="28"/>
              </w:rPr>
            </w:pPr>
            <w:r w:rsidRPr="00DF67C3">
              <w:rPr>
                <w:sz w:val="28"/>
                <w:szCs w:val="28"/>
              </w:rPr>
              <w:t>Вместимость стальных вертикальных цилиндрических резервуаров. Методика выполнения измерений геометрическим и объемным методами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DF67C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2017-08-24T11:07:00Z</dcterms:created>
  <dcterms:modified xsi:type="dcterms:W3CDTF">2017-08-24T11:08:00Z</dcterms:modified>
</cp:coreProperties>
</file>