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6" w:rsidRDefault="00101EB6" w:rsidP="004A6DC3">
      <w:pPr>
        <w:overflowPunct w:val="0"/>
        <w:autoSpaceDE w:val="0"/>
        <w:autoSpaceDN w:val="0"/>
        <w:adjustRightInd w:val="0"/>
        <w:spacing w:after="0" w:line="240" w:lineRule="auto"/>
        <w:ind w:left="709" w:right="5389" w:firstLine="11"/>
        <w:textAlignment w:val="baseline"/>
        <w:rPr>
          <w:rFonts w:ascii="Calibri" w:eastAsia="Times New Roman" w:hAnsi="Calibri" w:cs="Times New Roman"/>
          <w:b/>
          <w:i/>
          <w:sz w:val="18"/>
          <w:szCs w:val="18"/>
          <w:lang w:val="ro-RO" w:eastAsia="ru-RU"/>
        </w:rPr>
      </w:pPr>
    </w:p>
    <w:p w:rsidR="0064055C" w:rsidRPr="00896CCB" w:rsidRDefault="00E50E82" w:rsidP="00D80FA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709" w:right="5102" w:firstLine="11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896CC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Cu privire la </w:t>
      </w:r>
      <w:r w:rsidR="004A6DC3" w:rsidRPr="00896CC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desemnarea</w:t>
      </w:r>
      <w:r w:rsidR="00637D6B" w:rsidRPr="00896CC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4A6DC3" w:rsidRPr="00896CC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laboratorului de verificări metrologice din cadrul</w:t>
      </w:r>
      <w:r w:rsidR="00A104B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D157EB" w:rsidRPr="00D157E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SRL ”A.I.F. Etalon”</w:t>
      </w:r>
    </w:p>
    <w:p w:rsidR="0036372B" w:rsidRPr="00896CCB" w:rsidRDefault="0036372B" w:rsidP="00E15396">
      <w:pPr>
        <w:overflowPunct w:val="0"/>
        <w:autoSpaceDE w:val="0"/>
        <w:autoSpaceDN w:val="0"/>
        <w:adjustRightInd w:val="0"/>
        <w:spacing w:after="0" w:line="240" w:lineRule="auto"/>
        <w:ind w:right="4393" w:firstLine="720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val="ro-RO" w:eastAsia="ru-RU"/>
        </w:rPr>
      </w:pPr>
    </w:p>
    <w:p w:rsidR="00637D6B" w:rsidRPr="00896CCB" w:rsidRDefault="00E50E82" w:rsidP="00101EB6">
      <w:pPr>
        <w:overflowPunct w:val="0"/>
        <w:autoSpaceDE w:val="0"/>
        <w:autoSpaceDN w:val="0"/>
        <w:adjustRightInd w:val="0"/>
        <w:spacing w:after="0" w:line="240" w:lineRule="auto"/>
        <w:ind w:left="709" w:right="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96CC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637D6B" w:rsidRPr="00896CCB">
        <w:rPr>
          <w:rFonts w:ascii="Times New Roman" w:hAnsi="Times New Roman" w:cs="Times New Roman"/>
          <w:sz w:val="26"/>
          <w:szCs w:val="26"/>
        </w:rPr>
        <w:t>În temei</w:t>
      </w:r>
      <w:r w:rsidR="00A27302">
        <w:rPr>
          <w:rFonts w:ascii="Times New Roman" w:hAnsi="Times New Roman" w:cs="Times New Roman"/>
          <w:sz w:val="26"/>
          <w:szCs w:val="26"/>
        </w:rPr>
        <w:t xml:space="preserve">ul prevederilor art.17 alin.(1)-(3) </w:t>
      </w:r>
      <w:r w:rsidR="00637D6B" w:rsidRPr="00896CCB">
        <w:rPr>
          <w:rFonts w:ascii="Times New Roman" w:hAnsi="Times New Roman" w:cs="Times New Roman"/>
          <w:sz w:val="26"/>
          <w:szCs w:val="26"/>
        </w:rPr>
        <w:t xml:space="preserve">din </w:t>
      </w:r>
      <w:hyperlink r:id="rId8" w:history="1">
        <w:r w:rsidR="00637D6B" w:rsidRPr="00896CCB">
          <w:rPr>
            <w:rFonts w:ascii="Times New Roman" w:hAnsi="Times New Roman" w:cs="Times New Roman"/>
            <w:sz w:val="26"/>
            <w:szCs w:val="26"/>
          </w:rPr>
          <w:t>Legea metrologiei nr.19 din 4 martie 2016</w:t>
        </w:r>
      </w:hyperlink>
      <w:r w:rsidR="00637D6B" w:rsidRPr="00896CCB">
        <w:rPr>
          <w:rFonts w:ascii="Times New Roman" w:hAnsi="Times New Roman" w:cs="Times New Roman"/>
          <w:sz w:val="26"/>
          <w:szCs w:val="26"/>
        </w:rPr>
        <w:t xml:space="preserve"> (Monitorul Oficial al Republicii Moldova, 2016, nr.100-105, art.190)</w:t>
      </w:r>
      <w:r w:rsidR="00AD5761" w:rsidRPr="00896CCB">
        <w:rPr>
          <w:rFonts w:ascii="Times New Roman" w:hAnsi="Times New Roman" w:cs="Times New Roman"/>
          <w:sz w:val="26"/>
          <w:szCs w:val="26"/>
        </w:rPr>
        <w:t xml:space="preserve"> și</w:t>
      </w:r>
      <w:r w:rsidR="00637D6B" w:rsidRPr="00896CCB">
        <w:rPr>
          <w:rFonts w:ascii="Times New Roman" w:hAnsi="Times New Roman" w:cs="Times New Roman"/>
          <w:sz w:val="26"/>
          <w:szCs w:val="26"/>
        </w:rPr>
        <w:t xml:space="preserve"> </w:t>
      </w:r>
      <w:r w:rsidR="00B062C6" w:rsidRPr="00896CCB">
        <w:rPr>
          <w:rFonts w:ascii="Times New Roman" w:hAnsi="Times New Roman" w:cs="Times New Roman"/>
          <w:sz w:val="26"/>
          <w:szCs w:val="26"/>
        </w:rPr>
        <w:t xml:space="preserve">Regulamentului general de metrologie legală RGML 01:2016 „Desemnarea în cadrul Sistemului Naţional de Metrologie”, aprobat prin </w:t>
      </w:r>
      <w:r w:rsidR="00637D6B" w:rsidRPr="00896CCB">
        <w:rPr>
          <w:rFonts w:ascii="Times New Roman" w:hAnsi="Times New Roman" w:cs="Times New Roman"/>
          <w:sz w:val="26"/>
          <w:szCs w:val="26"/>
        </w:rPr>
        <w:t xml:space="preserve">Ordinul </w:t>
      </w:r>
      <w:r w:rsidR="00AD5761" w:rsidRPr="00896CCB">
        <w:rPr>
          <w:rFonts w:ascii="Times New Roman" w:hAnsi="Times New Roman" w:cs="Times New Roman"/>
          <w:sz w:val="26"/>
          <w:szCs w:val="26"/>
        </w:rPr>
        <w:t>M</w:t>
      </w:r>
      <w:r w:rsidR="005D2AC0" w:rsidRPr="00896CCB">
        <w:rPr>
          <w:rFonts w:ascii="Times New Roman" w:hAnsi="Times New Roman" w:cs="Times New Roman"/>
          <w:sz w:val="26"/>
          <w:szCs w:val="26"/>
        </w:rPr>
        <w:t xml:space="preserve">inisterului </w:t>
      </w:r>
      <w:r w:rsidR="00AD5761" w:rsidRPr="00896CCB">
        <w:rPr>
          <w:rFonts w:ascii="Times New Roman" w:hAnsi="Times New Roman" w:cs="Times New Roman"/>
          <w:sz w:val="26"/>
          <w:szCs w:val="26"/>
        </w:rPr>
        <w:t>E</w:t>
      </w:r>
      <w:r w:rsidR="005D2AC0" w:rsidRPr="00896CCB">
        <w:rPr>
          <w:rFonts w:ascii="Times New Roman" w:hAnsi="Times New Roman" w:cs="Times New Roman"/>
          <w:sz w:val="26"/>
          <w:szCs w:val="26"/>
        </w:rPr>
        <w:t>conomiei</w:t>
      </w:r>
      <w:r w:rsidR="00AD5761" w:rsidRPr="00896CCB">
        <w:rPr>
          <w:rFonts w:ascii="Times New Roman" w:hAnsi="Times New Roman" w:cs="Times New Roman"/>
          <w:sz w:val="26"/>
          <w:szCs w:val="26"/>
        </w:rPr>
        <w:t xml:space="preserve"> nr.240 din 28</w:t>
      </w:r>
      <w:r w:rsidR="0090708C" w:rsidRPr="00896CCB">
        <w:rPr>
          <w:rFonts w:ascii="Times New Roman" w:hAnsi="Times New Roman" w:cs="Times New Roman"/>
          <w:sz w:val="26"/>
          <w:szCs w:val="26"/>
        </w:rPr>
        <w:t xml:space="preserve"> decembrie </w:t>
      </w:r>
      <w:r w:rsidR="00AD5761" w:rsidRPr="00896CCB">
        <w:rPr>
          <w:rFonts w:ascii="Times New Roman" w:hAnsi="Times New Roman" w:cs="Times New Roman"/>
          <w:sz w:val="26"/>
          <w:szCs w:val="26"/>
        </w:rPr>
        <w:t>2016 (</w:t>
      </w:r>
      <w:r w:rsidR="00637D6B" w:rsidRPr="00896CCB">
        <w:rPr>
          <w:rFonts w:ascii="Times New Roman" w:hAnsi="Times New Roman" w:cs="Times New Roman"/>
          <w:sz w:val="26"/>
          <w:szCs w:val="26"/>
        </w:rPr>
        <w:t xml:space="preserve">Monitorul Oficial </w:t>
      </w:r>
      <w:r w:rsidR="00B062C6" w:rsidRPr="00896CCB">
        <w:rPr>
          <w:rFonts w:ascii="Times New Roman" w:hAnsi="Times New Roman" w:cs="Times New Roman"/>
          <w:sz w:val="26"/>
          <w:szCs w:val="26"/>
        </w:rPr>
        <w:t xml:space="preserve">al Republicii Moldova, 2017, </w:t>
      </w:r>
      <w:r w:rsidR="00637D6B" w:rsidRPr="00896CCB">
        <w:rPr>
          <w:rFonts w:ascii="Times New Roman" w:hAnsi="Times New Roman" w:cs="Times New Roman"/>
          <w:sz w:val="26"/>
          <w:szCs w:val="26"/>
        </w:rPr>
        <w:t>nr.92-102</w:t>
      </w:r>
      <w:r w:rsidR="00172A77" w:rsidRPr="00896CCB">
        <w:rPr>
          <w:rFonts w:ascii="Times New Roman" w:hAnsi="Times New Roman" w:cs="Times New Roman"/>
          <w:b/>
          <w:sz w:val="26"/>
          <w:szCs w:val="26"/>
        </w:rPr>
        <w:t>,</w:t>
      </w:r>
      <w:r w:rsidR="00B062C6" w:rsidRPr="00896CCB">
        <w:rPr>
          <w:rFonts w:ascii="Times New Roman" w:hAnsi="Times New Roman" w:cs="Times New Roman"/>
          <w:sz w:val="26"/>
          <w:szCs w:val="26"/>
        </w:rPr>
        <w:t xml:space="preserve"> art.</w:t>
      </w:r>
      <w:r w:rsidR="00637D6B" w:rsidRPr="00896CCB">
        <w:rPr>
          <w:rFonts w:ascii="Times New Roman" w:hAnsi="Times New Roman" w:cs="Times New Roman"/>
          <w:sz w:val="26"/>
          <w:szCs w:val="26"/>
        </w:rPr>
        <w:t>623</w:t>
      </w:r>
      <w:r w:rsidR="002F1441" w:rsidRPr="00896CCB">
        <w:rPr>
          <w:rFonts w:ascii="Times New Roman" w:hAnsi="Times New Roman" w:cs="Times New Roman"/>
          <w:sz w:val="26"/>
          <w:szCs w:val="26"/>
        </w:rPr>
        <w:t>)</w:t>
      </w:r>
      <w:r w:rsidR="00E15396">
        <w:rPr>
          <w:rFonts w:ascii="Times New Roman" w:hAnsi="Times New Roman" w:cs="Times New Roman"/>
          <w:sz w:val="26"/>
          <w:szCs w:val="26"/>
        </w:rPr>
        <w:t>,</w:t>
      </w:r>
    </w:p>
    <w:p w:rsidR="0036372B" w:rsidRPr="00E15396" w:rsidRDefault="00AD5761" w:rsidP="00637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0E82" w:rsidRPr="00896CCB" w:rsidRDefault="00E50E82" w:rsidP="00E15396">
      <w:pPr>
        <w:spacing w:after="0" w:line="240" w:lineRule="auto"/>
        <w:ind w:left="709" w:right="56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6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O R D O N:</w:t>
      </w:r>
    </w:p>
    <w:p w:rsidR="00E50E82" w:rsidRPr="00E15396" w:rsidRDefault="00E50E82" w:rsidP="00E50E82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5396" w:rsidRDefault="002F1441" w:rsidP="00CF41AA">
      <w:pPr>
        <w:pStyle w:val="cb"/>
        <w:tabs>
          <w:tab w:val="left" w:pos="990"/>
        </w:tabs>
        <w:ind w:left="720" w:hanging="11"/>
        <w:jc w:val="both"/>
        <w:rPr>
          <w:b w:val="0"/>
          <w:sz w:val="26"/>
          <w:szCs w:val="26"/>
        </w:rPr>
      </w:pPr>
      <w:r w:rsidRPr="00896CCB">
        <w:rPr>
          <w:b w:val="0"/>
          <w:sz w:val="26"/>
          <w:szCs w:val="26"/>
        </w:rPr>
        <w:t>1.</w:t>
      </w:r>
      <w:r w:rsidRPr="00896CCB">
        <w:rPr>
          <w:b w:val="0"/>
          <w:sz w:val="26"/>
          <w:szCs w:val="26"/>
        </w:rPr>
        <w:tab/>
      </w:r>
      <w:r w:rsidR="00E15396" w:rsidRPr="00E15396">
        <w:rPr>
          <w:b w:val="0"/>
          <w:sz w:val="26"/>
          <w:szCs w:val="26"/>
        </w:rPr>
        <w:t>Se desemn</w:t>
      </w:r>
      <w:r w:rsidR="00A27302">
        <w:rPr>
          <w:b w:val="0"/>
          <w:sz w:val="26"/>
          <w:szCs w:val="26"/>
        </w:rPr>
        <w:t>ează</w:t>
      </w:r>
      <w:r w:rsidR="002F7ACD">
        <w:rPr>
          <w:b w:val="0"/>
          <w:sz w:val="26"/>
          <w:szCs w:val="26"/>
        </w:rPr>
        <w:t xml:space="preserve"> laborato</w:t>
      </w:r>
      <w:bookmarkStart w:id="0" w:name="_GoBack"/>
      <w:bookmarkEnd w:id="0"/>
      <w:r w:rsidR="002F7ACD">
        <w:rPr>
          <w:b w:val="0"/>
          <w:sz w:val="26"/>
          <w:szCs w:val="26"/>
        </w:rPr>
        <w:t>rul</w:t>
      </w:r>
      <w:r w:rsidR="00E15396" w:rsidRPr="00E15396">
        <w:rPr>
          <w:b w:val="0"/>
          <w:sz w:val="26"/>
          <w:szCs w:val="26"/>
        </w:rPr>
        <w:t xml:space="preserve"> de verificări metrologice </w:t>
      </w:r>
      <w:r w:rsidR="00A27302" w:rsidRPr="00A27302">
        <w:rPr>
          <w:b w:val="0"/>
          <w:sz w:val="26"/>
          <w:szCs w:val="26"/>
        </w:rPr>
        <w:t xml:space="preserve">din cadrul </w:t>
      </w:r>
      <w:r w:rsidR="0065778B" w:rsidRPr="0065778B">
        <w:rPr>
          <w:b w:val="0"/>
          <w:sz w:val="26"/>
          <w:szCs w:val="26"/>
        </w:rPr>
        <w:t>SRL ”A.I.F. Etalon”</w:t>
      </w:r>
      <w:r w:rsidR="00E15396" w:rsidRPr="00E15396">
        <w:rPr>
          <w:b w:val="0"/>
          <w:sz w:val="26"/>
          <w:szCs w:val="26"/>
        </w:rPr>
        <w:t xml:space="preserve">, </w:t>
      </w:r>
      <w:r w:rsidR="00A27302" w:rsidRPr="00A27302">
        <w:rPr>
          <w:b w:val="0"/>
          <w:sz w:val="26"/>
          <w:szCs w:val="26"/>
        </w:rPr>
        <w:t xml:space="preserve">pentru efectuarea verificării metrologice a mijloacelor de măsurare supuse controlului metrologic legal, </w:t>
      </w:r>
      <w:r w:rsidR="00534104">
        <w:rPr>
          <w:b w:val="0"/>
          <w:sz w:val="26"/>
          <w:szCs w:val="26"/>
        </w:rPr>
        <w:t xml:space="preserve">cu </w:t>
      </w:r>
      <w:r w:rsidR="00A27302" w:rsidRPr="00A27302">
        <w:rPr>
          <w:b w:val="0"/>
          <w:sz w:val="26"/>
          <w:szCs w:val="26"/>
        </w:rPr>
        <w:t>domeniul de desemnare</w:t>
      </w:r>
      <w:r w:rsidR="00534104" w:rsidRPr="00534104">
        <w:rPr>
          <w:b w:val="0"/>
          <w:sz w:val="26"/>
          <w:szCs w:val="26"/>
        </w:rPr>
        <w:t xml:space="preserve"> </w:t>
      </w:r>
      <w:r w:rsidR="00534104" w:rsidRPr="00A27302">
        <w:rPr>
          <w:b w:val="0"/>
          <w:sz w:val="26"/>
          <w:szCs w:val="26"/>
        </w:rPr>
        <w:t>conform</w:t>
      </w:r>
      <w:r w:rsidR="00534104">
        <w:rPr>
          <w:b w:val="0"/>
          <w:sz w:val="26"/>
          <w:szCs w:val="26"/>
        </w:rPr>
        <w:t xml:space="preserve"> Anexei</w:t>
      </w:r>
      <w:r w:rsidR="00E15396" w:rsidRPr="00E15396">
        <w:rPr>
          <w:b w:val="0"/>
          <w:sz w:val="26"/>
          <w:szCs w:val="26"/>
        </w:rPr>
        <w:t xml:space="preserve">. </w:t>
      </w:r>
    </w:p>
    <w:p w:rsidR="00FB4463" w:rsidRPr="00E15396" w:rsidRDefault="00FB4463" w:rsidP="00CF41AA">
      <w:pPr>
        <w:pStyle w:val="cb"/>
        <w:tabs>
          <w:tab w:val="left" w:pos="990"/>
        </w:tabs>
        <w:ind w:left="720" w:hanging="11"/>
        <w:jc w:val="both"/>
        <w:rPr>
          <w:b w:val="0"/>
          <w:sz w:val="26"/>
          <w:szCs w:val="26"/>
        </w:rPr>
      </w:pPr>
    </w:p>
    <w:p w:rsidR="0036372B" w:rsidRDefault="00E15396" w:rsidP="00CF41AA">
      <w:pPr>
        <w:pStyle w:val="cb"/>
        <w:tabs>
          <w:tab w:val="left" w:pos="990"/>
        </w:tabs>
        <w:ind w:left="720" w:hanging="11"/>
        <w:jc w:val="both"/>
        <w:rPr>
          <w:b w:val="0"/>
          <w:sz w:val="26"/>
          <w:szCs w:val="26"/>
        </w:rPr>
      </w:pPr>
      <w:r w:rsidRPr="00E15396">
        <w:rPr>
          <w:b w:val="0"/>
          <w:sz w:val="26"/>
          <w:szCs w:val="26"/>
        </w:rPr>
        <w:t>2.</w:t>
      </w:r>
      <w:r w:rsidRPr="00E15396">
        <w:rPr>
          <w:b w:val="0"/>
          <w:sz w:val="26"/>
          <w:szCs w:val="26"/>
        </w:rPr>
        <w:tab/>
      </w:r>
      <w:r w:rsidR="00A27302" w:rsidRPr="00A27302">
        <w:rPr>
          <w:b w:val="0"/>
          <w:sz w:val="26"/>
          <w:szCs w:val="26"/>
        </w:rPr>
        <w:t>Se eliberează Certificatul de desemnare valabil p</w:t>
      </w:r>
      <w:r w:rsidR="00A27302">
        <w:rPr>
          <w:b w:val="0"/>
          <w:sz w:val="26"/>
          <w:szCs w:val="26"/>
        </w:rPr>
        <w:t>â</w:t>
      </w:r>
      <w:r w:rsidR="00A27302" w:rsidRPr="00A27302">
        <w:rPr>
          <w:b w:val="0"/>
          <w:sz w:val="26"/>
          <w:szCs w:val="26"/>
        </w:rPr>
        <w:t xml:space="preserve">nă la </w:t>
      </w:r>
      <w:r w:rsidR="007D45D1">
        <w:rPr>
          <w:b w:val="0"/>
          <w:sz w:val="26"/>
          <w:szCs w:val="26"/>
        </w:rPr>
        <w:t>19</w:t>
      </w:r>
      <w:r w:rsidR="00A27302" w:rsidRPr="00A27302">
        <w:rPr>
          <w:b w:val="0"/>
          <w:sz w:val="26"/>
          <w:szCs w:val="26"/>
        </w:rPr>
        <w:t xml:space="preserve"> </w:t>
      </w:r>
      <w:r w:rsidR="007D45D1">
        <w:rPr>
          <w:b w:val="0"/>
          <w:sz w:val="26"/>
          <w:szCs w:val="26"/>
        </w:rPr>
        <w:t>decembrie</w:t>
      </w:r>
      <w:r w:rsidR="00A27302" w:rsidRPr="00A27302">
        <w:rPr>
          <w:b w:val="0"/>
          <w:sz w:val="26"/>
          <w:szCs w:val="26"/>
        </w:rPr>
        <w:t xml:space="preserve"> 202</w:t>
      </w:r>
      <w:r w:rsidR="007D45D1">
        <w:rPr>
          <w:b w:val="0"/>
          <w:sz w:val="26"/>
          <w:szCs w:val="26"/>
        </w:rPr>
        <w:t>2</w:t>
      </w:r>
      <w:r w:rsidR="00A27302" w:rsidRPr="00A27302">
        <w:rPr>
          <w:b w:val="0"/>
          <w:sz w:val="26"/>
          <w:szCs w:val="26"/>
        </w:rPr>
        <w:t xml:space="preserve">, însoţit de Anexa cu domeniul de desemnare pentru laboratorul de verificări metrologice din cadrul </w:t>
      </w:r>
      <w:r w:rsidR="007D45D1" w:rsidRPr="007D45D1">
        <w:rPr>
          <w:b w:val="0"/>
          <w:sz w:val="26"/>
          <w:szCs w:val="26"/>
        </w:rPr>
        <w:t>SRL ”A.I.F. Etalon”</w:t>
      </w:r>
      <w:r w:rsidR="004F5C1A" w:rsidRPr="00A27302">
        <w:rPr>
          <w:b w:val="0"/>
          <w:sz w:val="26"/>
          <w:szCs w:val="26"/>
        </w:rPr>
        <w:t xml:space="preserve">, </w:t>
      </w:r>
      <w:r w:rsidR="00A27302" w:rsidRPr="00A27302">
        <w:rPr>
          <w:b w:val="0"/>
          <w:sz w:val="26"/>
          <w:szCs w:val="26"/>
        </w:rPr>
        <w:t>care este parte integrantă a acestui certificat.</w:t>
      </w:r>
    </w:p>
    <w:p w:rsidR="007D45D1" w:rsidRPr="00896CCB" w:rsidRDefault="007D45D1" w:rsidP="00CF41AA">
      <w:pPr>
        <w:pStyle w:val="cb"/>
        <w:tabs>
          <w:tab w:val="left" w:pos="990"/>
        </w:tabs>
        <w:ind w:left="720" w:hanging="11"/>
        <w:jc w:val="both"/>
        <w:rPr>
          <w:b w:val="0"/>
          <w:sz w:val="26"/>
          <w:szCs w:val="26"/>
        </w:rPr>
      </w:pPr>
    </w:p>
    <w:p w:rsidR="00C82A02" w:rsidRDefault="00D5527A" w:rsidP="00CF41AA">
      <w:pPr>
        <w:pStyle w:val="cb"/>
        <w:numPr>
          <w:ilvl w:val="0"/>
          <w:numId w:val="6"/>
        </w:numPr>
        <w:tabs>
          <w:tab w:val="left" w:pos="990"/>
        </w:tabs>
        <w:ind w:hanging="11"/>
        <w:jc w:val="both"/>
        <w:rPr>
          <w:b w:val="0"/>
          <w:sz w:val="26"/>
          <w:szCs w:val="26"/>
        </w:rPr>
      </w:pPr>
      <w:r w:rsidRPr="004B70E2">
        <w:rPr>
          <w:b w:val="0"/>
          <w:sz w:val="26"/>
          <w:szCs w:val="26"/>
        </w:rPr>
        <w:t xml:space="preserve">Direcția </w:t>
      </w:r>
      <w:r w:rsidR="009159D7" w:rsidRPr="004B70E2">
        <w:rPr>
          <w:b w:val="0"/>
          <w:sz w:val="26"/>
          <w:szCs w:val="26"/>
        </w:rPr>
        <w:t xml:space="preserve">infrastructura calității și securitate industrială </w:t>
      </w:r>
      <w:r w:rsidRPr="004B70E2">
        <w:rPr>
          <w:b w:val="0"/>
          <w:sz w:val="26"/>
          <w:szCs w:val="26"/>
        </w:rPr>
        <w:t>din cadrul Ministerului Economiei și Infrastructurii</w:t>
      </w:r>
      <w:r w:rsidR="00C82A02">
        <w:rPr>
          <w:b w:val="0"/>
          <w:sz w:val="26"/>
          <w:szCs w:val="26"/>
        </w:rPr>
        <w:t>:</w:t>
      </w:r>
    </w:p>
    <w:p w:rsidR="00D5527A" w:rsidRPr="007D45D1" w:rsidRDefault="004B70E2" w:rsidP="00CF41AA">
      <w:pPr>
        <w:pStyle w:val="cb"/>
        <w:numPr>
          <w:ilvl w:val="0"/>
          <w:numId w:val="7"/>
        </w:numPr>
        <w:tabs>
          <w:tab w:val="left" w:pos="1260"/>
        </w:tabs>
        <w:ind w:left="720" w:firstLine="270"/>
        <w:jc w:val="both"/>
        <w:rPr>
          <w:b w:val="0"/>
          <w:sz w:val="26"/>
          <w:szCs w:val="26"/>
        </w:rPr>
      </w:pPr>
      <w:r w:rsidRPr="004B70E2">
        <w:rPr>
          <w:b w:val="0"/>
          <w:sz w:val="26"/>
          <w:szCs w:val="26"/>
        </w:rPr>
        <w:t>va</w:t>
      </w:r>
      <w:r w:rsidR="00D5527A" w:rsidRPr="004B70E2">
        <w:rPr>
          <w:b w:val="0"/>
          <w:color w:val="000000"/>
          <w:sz w:val="26"/>
          <w:szCs w:val="26"/>
          <w:lang w:eastAsia="ro-RO" w:bidi="ro-RO"/>
        </w:rPr>
        <w:t xml:space="preserve"> actualiz</w:t>
      </w:r>
      <w:r w:rsidRPr="004B70E2">
        <w:rPr>
          <w:b w:val="0"/>
          <w:color w:val="000000"/>
          <w:sz w:val="26"/>
          <w:szCs w:val="26"/>
          <w:lang w:eastAsia="ro-RO" w:bidi="ro-RO"/>
        </w:rPr>
        <w:t>a</w:t>
      </w:r>
      <w:r w:rsidR="00D5527A" w:rsidRPr="004B70E2">
        <w:rPr>
          <w:b w:val="0"/>
          <w:color w:val="000000"/>
          <w:sz w:val="26"/>
          <w:szCs w:val="26"/>
          <w:lang w:eastAsia="ro-RO" w:bidi="ro-RO"/>
        </w:rPr>
        <w:t xml:space="preserve"> Lista entităţilor desemnate pentru verificarea metrologică a mijloacelor de măsurare sup</w:t>
      </w:r>
      <w:r w:rsidR="00AE2485" w:rsidRPr="004B70E2">
        <w:rPr>
          <w:b w:val="0"/>
          <w:color w:val="000000"/>
          <w:sz w:val="26"/>
          <w:szCs w:val="26"/>
          <w:lang w:eastAsia="ro-RO" w:bidi="ro-RO"/>
        </w:rPr>
        <w:t>use controlului metrologic legal</w:t>
      </w:r>
      <w:r w:rsidR="00D5527A" w:rsidRPr="004B70E2">
        <w:rPr>
          <w:b w:val="0"/>
          <w:color w:val="000000"/>
          <w:sz w:val="26"/>
          <w:szCs w:val="26"/>
          <w:lang w:eastAsia="ro-RO" w:bidi="ro-RO"/>
        </w:rPr>
        <w:t>, plasată pe pagina web a Ministerului Economiei</w:t>
      </w:r>
      <w:r w:rsidR="00076473" w:rsidRPr="004B70E2">
        <w:rPr>
          <w:b w:val="0"/>
          <w:color w:val="000000"/>
          <w:sz w:val="26"/>
          <w:szCs w:val="26"/>
          <w:lang w:eastAsia="ro-RO" w:bidi="ro-RO"/>
        </w:rPr>
        <w:t xml:space="preserve"> și  Infrastructurii</w:t>
      </w:r>
      <w:r w:rsidR="00D5527A" w:rsidRPr="004B70E2">
        <w:rPr>
          <w:b w:val="0"/>
          <w:color w:val="000000"/>
          <w:sz w:val="26"/>
          <w:szCs w:val="26"/>
          <w:lang w:eastAsia="ro-RO" w:bidi="ro-RO"/>
        </w:rPr>
        <w:t>;</w:t>
      </w:r>
    </w:p>
    <w:p w:rsidR="00D5527A" w:rsidRPr="004B70E2" w:rsidRDefault="00FA326F" w:rsidP="00CF41AA">
      <w:pPr>
        <w:pStyle w:val="Bodytext20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0" w:line="240" w:lineRule="auto"/>
        <w:ind w:left="720" w:firstLine="27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o-RO" w:bidi="ro-RO"/>
        </w:rPr>
        <w:t>va</w:t>
      </w:r>
      <w:r w:rsidR="00C82A02">
        <w:rPr>
          <w:color w:val="000000"/>
          <w:sz w:val="26"/>
          <w:szCs w:val="26"/>
          <w:lang w:eastAsia="ro-RO" w:bidi="ro-RO"/>
        </w:rPr>
        <w:t xml:space="preserve"> transmite </w:t>
      </w:r>
      <w:r w:rsidR="004B70E2" w:rsidRPr="004B70E2">
        <w:rPr>
          <w:color w:val="000000"/>
          <w:sz w:val="26"/>
          <w:szCs w:val="26"/>
          <w:lang w:eastAsia="ro-RO" w:bidi="ro-RO"/>
        </w:rPr>
        <w:t>I.P. ”Institutul Naţional de Metrologie”</w:t>
      </w:r>
      <w:r w:rsidR="004B70E2">
        <w:rPr>
          <w:color w:val="000000"/>
          <w:sz w:val="26"/>
          <w:szCs w:val="26"/>
          <w:lang w:eastAsia="ro-RO" w:bidi="ro-RO"/>
        </w:rPr>
        <w:t xml:space="preserve"> </w:t>
      </w:r>
      <w:r w:rsidR="004B70E2" w:rsidRPr="004B70E2">
        <w:rPr>
          <w:color w:val="000000"/>
          <w:sz w:val="26"/>
          <w:szCs w:val="26"/>
          <w:lang w:eastAsia="ro-RO" w:bidi="ro-RO"/>
        </w:rPr>
        <w:t>prezentul</w:t>
      </w:r>
      <w:r w:rsidR="008D0B57">
        <w:rPr>
          <w:color w:val="000000"/>
          <w:sz w:val="26"/>
          <w:szCs w:val="26"/>
          <w:lang w:eastAsia="ro-RO" w:bidi="ro-RO"/>
        </w:rPr>
        <w:t>ui</w:t>
      </w:r>
      <w:r w:rsidR="004B70E2" w:rsidRPr="004B70E2">
        <w:rPr>
          <w:color w:val="000000"/>
          <w:sz w:val="26"/>
          <w:szCs w:val="26"/>
          <w:lang w:eastAsia="ro-RO" w:bidi="ro-RO"/>
        </w:rPr>
        <w:t xml:space="preserve"> Ordin </w:t>
      </w:r>
      <w:r>
        <w:rPr>
          <w:color w:val="000000"/>
          <w:sz w:val="26"/>
          <w:szCs w:val="26"/>
          <w:lang w:eastAsia="ro-RO" w:bidi="ro-RO"/>
        </w:rPr>
        <w:t>pentru gestionarea Sistemului informațional de evidență a mijloacelor de măsurare utilizate în domeniile de interes public</w:t>
      </w:r>
      <w:r w:rsidR="00D5527A" w:rsidRPr="004B70E2">
        <w:rPr>
          <w:color w:val="000000"/>
          <w:sz w:val="26"/>
          <w:szCs w:val="26"/>
          <w:lang w:eastAsia="ro-RO" w:bidi="ro-RO"/>
        </w:rPr>
        <w:t>.</w:t>
      </w:r>
    </w:p>
    <w:p w:rsidR="008F11EC" w:rsidRDefault="008F11EC" w:rsidP="0090708C">
      <w:pPr>
        <w:pStyle w:val="ae"/>
        <w:rPr>
          <w:sz w:val="26"/>
          <w:szCs w:val="26"/>
        </w:rPr>
      </w:pPr>
    </w:p>
    <w:p w:rsidR="001046B4" w:rsidRDefault="001046B4" w:rsidP="0090708C">
      <w:pPr>
        <w:pStyle w:val="ae"/>
        <w:rPr>
          <w:sz w:val="16"/>
          <w:szCs w:val="16"/>
        </w:rPr>
      </w:pPr>
    </w:p>
    <w:p w:rsidR="009C44BF" w:rsidRPr="001046B4" w:rsidRDefault="009C44BF" w:rsidP="0090708C">
      <w:pPr>
        <w:pStyle w:val="ae"/>
        <w:rPr>
          <w:sz w:val="16"/>
          <w:szCs w:val="16"/>
        </w:rPr>
      </w:pPr>
    </w:p>
    <w:p w:rsidR="001046B4" w:rsidRPr="00D76A93" w:rsidRDefault="00CF0245" w:rsidP="001046B4">
      <w:pPr>
        <w:spacing w:after="0" w:line="240" w:lineRule="auto"/>
        <w:ind w:left="851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Secretar general de stat</w:t>
      </w:r>
      <w:r w:rsidR="001046B4" w:rsidRPr="00D76A9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                </w:t>
      </w:r>
      <w:r w:rsidR="0079061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</w:t>
      </w:r>
      <w:r w:rsidR="001046B4" w:rsidRPr="00D76A9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  <w:r w:rsidRPr="00CF024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Iulia COSTIN</w:t>
      </w:r>
    </w:p>
    <w:p w:rsidR="001046B4" w:rsidRPr="00673A0B" w:rsidRDefault="001046B4" w:rsidP="001046B4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046B4" w:rsidRPr="000022CF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1046B4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pPr w:leftFromText="180" w:rightFromText="180" w:vertAnchor="page" w:horzAnchor="margin" w:tblpXSpec="center" w:tblpY="991"/>
        <w:tblW w:w="5700" w:type="pct"/>
        <w:tblLook w:val="04A0"/>
      </w:tblPr>
      <w:tblGrid>
        <w:gridCol w:w="11898"/>
      </w:tblGrid>
      <w:tr w:rsidR="00495943" w:rsidRPr="00DE02BB" w:rsidTr="00690FD2">
        <w:trPr>
          <w:trHeight w:val="3456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5943" w:rsidRPr="004B4794" w:rsidRDefault="00495943" w:rsidP="00690FD2">
            <w:pPr>
              <w:ind w:firstLine="567"/>
              <w:rPr>
                <w:b/>
                <w:bCs/>
                <w:lang w:val="ro-RO" w:eastAsia="en-GB"/>
              </w:rPr>
            </w:pPr>
            <w:r w:rsidRPr="004B4794">
              <w:rPr>
                <w:lang w:val="ro-RO" w:eastAsia="en-GB"/>
              </w:rPr>
              <w:lastRenderedPageBreak/>
              <w:t>  </w:t>
            </w:r>
            <w:r w:rsidRPr="004B4794">
              <w:rPr>
                <w:b/>
                <w:bCs/>
                <w:lang w:val="ro-RO" w:eastAsia="en-GB"/>
              </w:rPr>
              <w:t xml:space="preserve"> </w:t>
            </w:r>
          </w:p>
          <w:p w:rsidR="00495943" w:rsidRPr="004B4794" w:rsidRDefault="00495943" w:rsidP="00690FD2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495943" w:rsidRPr="004B4794" w:rsidRDefault="00495943" w:rsidP="00690FD2">
            <w:pPr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Anexă</w:t>
            </w:r>
          </w:p>
          <w:p w:rsidR="00495943" w:rsidRPr="004B4794" w:rsidRDefault="00495943" w:rsidP="00690FD2">
            <w:pPr>
              <w:jc w:val="right"/>
              <w:rPr>
                <w:lang w:val="ro-RO" w:eastAsia="en-GB"/>
              </w:rPr>
            </w:pPr>
            <w:r>
              <w:rPr>
                <w:lang w:val="ro-RO" w:eastAsia="en-GB"/>
              </w:rPr>
              <w:t>la ordinul Ministerului Economiei și Infrastructurii</w:t>
            </w:r>
          </w:p>
          <w:p w:rsidR="00495943" w:rsidRPr="004B4794" w:rsidRDefault="00495943" w:rsidP="00690FD2">
            <w:pPr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nr._________ din _____________________</w:t>
            </w:r>
          </w:p>
          <w:p w:rsidR="00495943" w:rsidRPr="004B4794" w:rsidRDefault="00495943" w:rsidP="00690FD2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 </w:t>
            </w:r>
          </w:p>
          <w:p w:rsidR="00495943" w:rsidRPr="00246696" w:rsidRDefault="00495943" w:rsidP="00690FD2">
            <w:pPr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246696">
              <w:rPr>
                <w:b/>
                <w:bCs/>
                <w:sz w:val="24"/>
                <w:szCs w:val="24"/>
                <w:lang w:val="ro-RO" w:eastAsia="en-GB"/>
              </w:rPr>
              <w:t>DOMENIUL DE DESEMNARE</w:t>
            </w:r>
          </w:p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b/>
                <w:bCs/>
                <w:sz w:val="24"/>
                <w:szCs w:val="24"/>
                <w:lang w:val="ro-RO" w:eastAsia="en-GB"/>
              </w:rPr>
              <w:t xml:space="preserve"> </w:t>
            </w:r>
          </w:p>
          <w:p w:rsidR="00495943" w:rsidRDefault="00495943" w:rsidP="00690FD2">
            <w:pPr>
              <w:jc w:val="center"/>
              <w:rPr>
                <w:rFonts w:ascii="Arial" w:hAnsi="Arial" w:cs="Arial"/>
                <w:u w:val="single"/>
                <w:lang w:val="ro-RO" w:eastAsia="en-GB"/>
              </w:rPr>
            </w:pPr>
            <w:r w:rsidRPr="00246696">
              <w:rPr>
                <w:b/>
                <w:sz w:val="24"/>
                <w:szCs w:val="24"/>
                <w:u w:val="single"/>
                <w:lang w:val="ro-RO" w:eastAsia="en-GB"/>
              </w:rPr>
              <w:t xml:space="preserve">           Laborator </w:t>
            </w:r>
            <w:r>
              <w:rPr>
                <w:b/>
                <w:sz w:val="24"/>
                <w:szCs w:val="24"/>
                <w:u w:val="single"/>
                <w:lang w:val="ro-RO" w:eastAsia="en-GB"/>
              </w:rPr>
              <w:t xml:space="preserve">de verificări </w:t>
            </w:r>
            <w:r w:rsidRPr="00246696">
              <w:rPr>
                <w:b/>
                <w:sz w:val="24"/>
                <w:szCs w:val="24"/>
                <w:u w:val="single"/>
                <w:lang w:val="ro-RO" w:eastAsia="en-GB"/>
              </w:rPr>
              <w:t>metrologic</w:t>
            </w:r>
            <w:r>
              <w:rPr>
                <w:b/>
                <w:sz w:val="24"/>
                <w:szCs w:val="24"/>
                <w:u w:val="single"/>
                <w:lang w:val="ro-RO" w:eastAsia="en-GB"/>
              </w:rPr>
              <w:t>e din cadrul</w:t>
            </w:r>
            <w:r w:rsidRPr="00246696">
              <w:rPr>
                <w:b/>
                <w:sz w:val="24"/>
                <w:szCs w:val="24"/>
                <w:u w:val="single"/>
                <w:lang w:val="ro-RO" w:eastAsia="en-GB"/>
              </w:rPr>
              <w:t xml:space="preserve"> „A.I.F. ETALON” SRL</w:t>
            </w:r>
            <w:r>
              <w:rPr>
                <w:b/>
                <w:sz w:val="24"/>
                <w:szCs w:val="24"/>
                <w:u w:val="single"/>
                <w:lang w:val="ro-RO" w:eastAsia="en-GB"/>
              </w:rPr>
              <w:t xml:space="preserve">,           </w:t>
            </w:r>
            <w:r w:rsidRPr="00670E3A">
              <w:rPr>
                <w:b/>
                <w:color w:val="FFFFFF" w:themeColor="background1"/>
                <w:sz w:val="24"/>
                <w:szCs w:val="24"/>
                <w:u w:val="single"/>
                <w:lang w:val="ro-RO" w:eastAsia="en-GB"/>
              </w:rPr>
              <w:t>.</w:t>
            </w:r>
            <w:r w:rsidRPr="002B0905">
              <w:rPr>
                <w:rFonts w:ascii="Arial" w:hAnsi="Arial" w:cs="Arial"/>
                <w:u w:val="single"/>
                <w:lang w:val="ro-RO" w:eastAsia="en-GB"/>
              </w:rPr>
              <w:t xml:space="preserve">          </w:t>
            </w:r>
          </w:p>
          <w:p w:rsidR="00495943" w:rsidRPr="00670E3A" w:rsidRDefault="00495943" w:rsidP="00690FD2">
            <w:pPr>
              <w:jc w:val="center"/>
              <w:rPr>
                <w:b/>
                <w:sz w:val="24"/>
                <w:szCs w:val="24"/>
                <w:u w:val="single"/>
                <w:lang w:val="ro-RO" w:eastAsia="en-GB"/>
              </w:rPr>
            </w:pPr>
            <w:r w:rsidRPr="00670E3A">
              <w:rPr>
                <w:b/>
                <w:sz w:val="24"/>
                <w:szCs w:val="24"/>
                <w:u w:val="single"/>
                <w:lang w:val="ro-RO" w:eastAsia="en-GB"/>
              </w:rPr>
              <w:t>organism de inspecție de tip A conform standardului de referință SM SR ISO/CEI 17020</w:t>
            </w:r>
            <w:r w:rsidRPr="00670E3A">
              <w:rPr>
                <w:b/>
                <w:color w:val="FFFFFF" w:themeColor="background1"/>
                <w:sz w:val="24"/>
                <w:szCs w:val="24"/>
                <w:u w:val="single"/>
                <w:lang w:val="ro-RO" w:eastAsia="en-GB"/>
              </w:rPr>
              <w:t>a</w:t>
            </w:r>
          </w:p>
          <w:p w:rsidR="00495943" w:rsidRDefault="00495943" w:rsidP="00690FD2">
            <w:pPr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(denumirea persoanei juridice)</w:t>
            </w:r>
          </w:p>
          <w:p w:rsidR="00495943" w:rsidRPr="004B4794" w:rsidRDefault="00495943" w:rsidP="00690FD2">
            <w:pPr>
              <w:jc w:val="center"/>
              <w:rPr>
                <w:lang w:val="ro-RO" w:eastAsia="en-GB"/>
              </w:rPr>
            </w:pPr>
          </w:p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u w:val="single"/>
                <w:lang w:val="ro-RO" w:eastAsia="en-GB"/>
              </w:rPr>
              <w:t>Republica Moldova, MD-2003, mun. Chișinău, or. Durlești, str. Tudor Vladimirescu, 62/1</w:t>
            </w:r>
            <w:r w:rsidRPr="00246696">
              <w:rPr>
                <w:sz w:val="24"/>
                <w:szCs w:val="24"/>
                <w:lang w:val="ro-RO" w:eastAsia="en-GB"/>
              </w:rPr>
              <w:t xml:space="preserve"> </w:t>
            </w:r>
          </w:p>
          <w:p w:rsidR="00495943" w:rsidRPr="004B4794" w:rsidRDefault="00495943" w:rsidP="00690FD2">
            <w:pPr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(adresa juridică)</w:t>
            </w:r>
          </w:p>
          <w:p w:rsidR="00495943" w:rsidRPr="004B4794" w:rsidRDefault="00495943" w:rsidP="00690FD2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</w:tc>
      </w:tr>
    </w:tbl>
    <w:tbl>
      <w:tblPr>
        <w:tblStyle w:val="2"/>
        <w:tblW w:w="5273" w:type="pct"/>
        <w:tblLayout w:type="fixed"/>
        <w:tblLook w:val="04A0"/>
      </w:tblPr>
      <w:tblGrid>
        <w:gridCol w:w="417"/>
        <w:gridCol w:w="2763"/>
        <w:gridCol w:w="1216"/>
        <w:gridCol w:w="1811"/>
        <w:gridCol w:w="2618"/>
        <w:gridCol w:w="2315"/>
      </w:tblGrid>
      <w:tr w:rsidR="00495943" w:rsidRPr="00246696" w:rsidTr="00690FD2">
        <w:trPr>
          <w:trHeight w:val="154"/>
        </w:trPr>
        <w:tc>
          <w:tcPr>
            <w:tcW w:w="187" w:type="pct"/>
            <w:vAlign w:val="center"/>
            <w:hideMark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 w:eastAsia="en-GB"/>
              </w:rPr>
              <w:t>Nr.</w:t>
            </w:r>
          </w:p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 w:eastAsia="en-GB"/>
              </w:rPr>
              <w:t>crt.</w:t>
            </w:r>
          </w:p>
        </w:tc>
        <w:tc>
          <w:tcPr>
            <w:tcW w:w="1240" w:type="pct"/>
            <w:vAlign w:val="center"/>
            <w:hideMark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fr-FR" w:eastAsia="en-GB"/>
              </w:rPr>
            </w:pPr>
            <w:r w:rsidRPr="00246696">
              <w:rPr>
                <w:sz w:val="24"/>
                <w:szCs w:val="24"/>
                <w:lang w:val="fr-FR"/>
              </w:rPr>
              <w:t>Denumirea, tipul mijlocului de măsurare supus verificării metrologice</w:t>
            </w:r>
            <w:r w:rsidRPr="00246696">
              <w:rPr>
                <w:bCs/>
                <w:sz w:val="24"/>
                <w:szCs w:val="24"/>
                <w:lang w:val="ro-RO" w:eastAsia="en-GB"/>
              </w:rPr>
              <w:t xml:space="preserve"> cu indicarea </w:t>
            </w:r>
            <w:r w:rsidRPr="00246696">
              <w:rPr>
                <w:bCs/>
                <w:sz w:val="24"/>
                <w:szCs w:val="24"/>
                <w:lang w:val="ro-RO" w:eastAsia="en-GB"/>
              </w:rPr>
              <w:br/>
              <w:t>poziţiei din tabelul  Listei oficiale</w:t>
            </w:r>
            <w:r w:rsidRPr="00246696">
              <w:rPr>
                <w:sz w:val="24"/>
                <w:szCs w:val="24"/>
                <w:lang w:val="ro-RO" w:eastAsia="en-GB"/>
              </w:rPr>
              <w:t>*</w:t>
            </w:r>
          </w:p>
        </w:tc>
        <w:tc>
          <w:tcPr>
            <w:tcW w:w="546" w:type="pct"/>
            <w:vAlign w:val="center"/>
            <w:hideMark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/>
              </w:rPr>
              <w:t>I</w:t>
            </w:r>
            <w:r w:rsidRPr="00246696">
              <w:rPr>
                <w:sz w:val="24"/>
                <w:szCs w:val="24"/>
              </w:rPr>
              <w:t>ntervalul de măsurare</w:t>
            </w:r>
          </w:p>
        </w:tc>
        <w:tc>
          <w:tcPr>
            <w:tcW w:w="813" w:type="pct"/>
            <w:vAlign w:val="center"/>
            <w:hideMark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246696">
              <w:rPr>
                <w:sz w:val="24"/>
                <w:szCs w:val="24"/>
                <w:lang w:val="en-GB" w:eastAsia="en-GB"/>
              </w:rPr>
              <w:t>Clasa, ordinul, valoarea diviziunii, incertitudinea şi/sau eroarea</w:t>
            </w:r>
          </w:p>
        </w:tc>
        <w:tc>
          <w:tcPr>
            <w:tcW w:w="1175" w:type="pct"/>
            <w:vAlign w:val="center"/>
            <w:hideMark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/>
              </w:rPr>
              <w:t>Operația</w:t>
            </w:r>
            <w:r w:rsidRPr="00246696">
              <w:rPr>
                <w:sz w:val="24"/>
                <w:szCs w:val="24"/>
              </w:rPr>
              <w:t xml:space="preserve"> verificării metrologice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Documentul normativ de referință</w:t>
            </w:r>
          </w:p>
        </w:tc>
      </w:tr>
      <w:tr w:rsidR="00495943" w:rsidRPr="00246696" w:rsidTr="00690FD2">
        <w:trPr>
          <w:trHeight w:val="440"/>
        </w:trPr>
        <w:tc>
          <w:tcPr>
            <w:tcW w:w="5000" w:type="pct"/>
            <w:gridSpan w:val="6"/>
          </w:tcPr>
          <w:p w:rsidR="00495943" w:rsidRPr="00246696" w:rsidRDefault="00495943" w:rsidP="00690FD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ro-RO" w:eastAsia="en-GB"/>
              </w:rPr>
              <w:t xml:space="preserve">Locația: </w:t>
            </w:r>
            <w:r w:rsidRPr="00246696">
              <w:rPr>
                <w:b/>
                <w:sz w:val="24"/>
                <w:szCs w:val="24"/>
                <w:lang w:val="ro-RO" w:eastAsia="en-GB"/>
              </w:rPr>
              <w:t>R</w:t>
            </w:r>
            <w:r>
              <w:rPr>
                <w:b/>
                <w:sz w:val="24"/>
                <w:szCs w:val="24"/>
                <w:lang w:val="ro-RO" w:eastAsia="en-GB"/>
              </w:rPr>
              <w:t xml:space="preserve">epublica </w:t>
            </w:r>
            <w:r w:rsidRPr="00246696">
              <w:rPr>
                <w:b/>
                <w:sz w:val="24"/>
                <w:szCs w:val="24"/>
                <w:lang w:val="ro-RO" w:eastAsia="en-GB"/>
              </w:rPr>
              <w:t>M</w:t>
            </w:r>
            <w:r>
              <w:rPr>
                <w:b/>
                <w:sz w:val="24"/>
                <w:szCs w:val="24"/>
                <w:lang w:val="ro-RO" w:eastAsia="en-GB"/>
              </w:rPr>
              <w:t>oldova</w:t>
            </w:r>
            <w:r w:rsidRPr="00246696">
              <w:rPr>
                <w:b/>
                <w:sz w:val="24"/>
                <w:szCs w:val="24"/>
                <w:lang w:val="ro-RO" w:eastAsia="en-GB"/>
              </w:rPr>
              <w:t>, MD-2003, mun. Chișinău, or. Durlești, str. Tudor Vladimirescu, 62/1</w:t>
            </w:r>
          </w:p>
        </w:tc>
      </w:tr>
      <w:tr w:rsidR="00495943" w:rsidRPr="00246696" w:rsidTr="00690FD2">
        <w:trPr>
          <w:trHeight w:val="350"/>
        </w:trPr>
        <w:tc>
          <w:tcPr>
            <w:tcW w:w="5000" w:type="pct"/>
            <w:gridSpan w:val="6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b/>
                <w:sz w:val="24"/>
                <w:szCs w:val="24"/>
                <w:lang w:val="ro-RO"/>
              </w:rPr>
              <w:t>MĂRIMI GEOMETRICE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1240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/>
              </w:rPr>
              <w:t>Tije metrice</w:t>
            </w:r>
            <w:r>
              <w:rPr>
                <w:sz w:val="24"/>
                <w:szCs w:val="24"/>
                <w:lang w:val="ro-RO"/>
              </w:rPr>
              <w:t>, 7.1.2.</w:t>
            </w:r>
          </w:p>
        </w:tc>
        <w:tc>
          <w:tcPr>
            <w:tcW w:w="546" w:type="pct"/>
            <w:vMerge w:val="restart"/>
            <w:vAlign w:val="center"/>
          </w:tcPr>
          <w:p w:rsidR="00495943" w:rsidRPr="00246696" w:rsidRDefault="00495943" w:rsidP="00690F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6696">
              <w:rPr>
                <w:rFonts w:ascii="Times New Roman" w:hAnsi="Times New Roman" w:cs="Times New Roman"/>
              </w:rPr>
              <w:t>Până la 5 m</w:t>
            </w:r>
          </w:p>
        </w:tc>
        <w:tc>
          <w:tcPr>
            <w:tcW w:w="813" w:type="pct"/>
            <w:vMerge w:val="restart"/>
            <w:vAlign w:val="center"/>
          </w:tcPr>
          <w:p w:rsidR="00495943" w:rsidRPr="00246696" w:rsidRDefault="00495943" w:rsidP="00690F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6696">
              <w:rPr>
                <w:rFonts w:ascii="Times New Roman" w:hAnsi="Times New Roman" w:cs="Times New Roman"/>
              </w:rPr>
              <w:t>v.d. 1 mm</w:t>
            </w:r>
          </w:p>
        </w:tc>
        <w:tc>
          <w:tcPr>
            <w:tcW w:w="1175" w:type="pct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1 Examinarea aspectului exterior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GOST 8.247-2004, pct. 8.1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2 Încercarea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GOST 8.247-2004, pct. 8.2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3 Determinarea abaterii nicovalei de la perpendicularitate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GOST 8.247-2004, pct. 8.3.2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4 Determinarea coinciderii marcajului iniţial al scării cu suprafaţa nicovalei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GOST 8.247-2004, pct. 8.3.5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5 Determinarea abaterilor admisibile a lungimii totale a scării şi a fiecărui interval aparte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GOST 8.247-2004, pct. 8.3.6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240" w:type="pct"/>
            <w:vMerge w:val="restart"/>
            <w:vAlign w:val="center"/>
          </w:tcPr>
          <w:p w:rsidR="00495943" w:rsidRPr="00495943" w:rsidRDefault="00495943" w:rsidP="00690FD2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495943">
              <w:rPr>
                <w:sz w:val="24"/>
                <w:szCs w:val="24"/>
                <w:lang w:val="en-GB" w:eastAsia="en-GB"/>
              </w:rPr>
              <w:t>Rulete şi panglici de măsurare,</w:t>
            </w:r>
          </w:p>
          <w:p w:rsidR="00495943" w:rsidRPr="00246696" w:rsidRDefault="00495943" w:rsidP="00690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eastAsia="en-GB"/>
              </w:rPr>
              <w:t xml:space="preserve">7.1.3. </w:t>
            </w:r>
          </w:p>
        </w:tc>
        <w:tc>
          <w:tcPr>
            <w:tcW w:w="546" w:type="pct"/>
            <w:vMerge w:val="restart"/>
            <w:vAlign w:val="center"/>
          </w:tcPr>
          <w:p w:rsidR="00495943" w:rsidRPr="00246696" w:rsidRDefault="00495943" w:rsidP="00690F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6696">
              <w:rPr>
                <w:rFonts w:ascii="Times New Roman" w:hAnsi="Times New Roman" w:cs="Times New Roman"/>
              </w:rPr>
              <w:t>Până la 10 m</w:t>
            </w:r>
          </w:p>
        </w:tc>
        <w:tc>
          <w:tcPr>
            <w:tcW w:w="813" w:type="pct"/>
            <w:vMerge w:val="restart"/>
            <w:vAlign w:val="center"/>
          </w:tcPr>
          <w:p w:rsidR="00495943" w:rsidRPr="00246696" w:rsidRDefault="00495943" w:rsidP="00690F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6696">
              <w:rPr>
                <w:rFonts w:ascii="Times New Roman" w:hAnsi="Times New Roman" w:cs="Times New Roman"/>
              </w:rPr>
              <w:t>clasa 3</w:t>
            </w:r>
          </w:p>
        </w:tc>
        <w:tc>
          <w:tcPr>
            <w:tcW w:w="1175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1 Examinarea aspectului exterior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MИ 1780-87, pct. 4.1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2 Încercarea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MИ 1780-87, pct. 4.2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 xml:space="preserve">3 Determinarea abaterilor admisibile a lungimii totale a scării şi a fiecărui interval aparte  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MИ 1780-87, pct. 4.7</w:t>
            </w:r>
          </w:p>
        </w:tc>
      </w:tr>
      <w:tr w:rsidR="00495943" w:rsidRPr="00246696" w:rsidTr="00690FD2">
        <w:trPr>
          <w:trHeight w:val="350"/>
        </w:trPr>
        <w:tc>
          <w:tcPr>
            <w:tcW w:w="5000" w:type="pct"/>
            <w:gridSpan w:val="6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b/>
                <w:bCs/>
                <w:sz w:val="24"/>
                <w:szCs w:val="24"/>
                <w:lang w:val="ro-RO" w:eastAsia="en-GB"/>
              </w:rPr>
              <w:t>PRESIUNE</w:t>
            </w:r>
          </w:p>
        </w:tc>
      </w:tr>
      <w:tr w:rsidR="00495943" w:rsidRPr="00246696" w:rsidTr="00690FD2">
        <w:trPr>
          <w:trHeight w:val="434"/>
        </w:trPr>
        <w:tc>
          <w:tcPr>
            <w:tcW w:w="187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ro-RO" w:eastAsia="en-GB"/>
              </w:rPr>
            </w:pPr>
            <w:r w:rsidRPr="00246696">
              <w:rPr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240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Manometre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,</w:t>
            </w:r>
          </w:p>
          <w:p w:rsidR="00495943" w:rsidRPr="00246696" w:rsidRDefault="00495943" w:rsidP="00690FD2">
            <w:pPr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vacuummetre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,</w:t>
            </w:r>
          </w:p>
          <w:p w:rsidR="00495943" w:rsidRPr="00246696" w:rsidRDefault="00495943" w:rsidP="00690FD2">
            <w:pPr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manovacuummetre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,</w:t>
            </w:r>
          </w:p>
          <w:p w:rsidR="00495943" w:rsidRPr="00246696" w:rsidRDefault="00495943" w:rsidP="00690FD2">
            <w:pPr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manometre cu contacte electrice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,</w:t>
            </w:r>
          </w:p>
          <w:p w:rsidR="00495943" w:rsidRPr="00246696" w:rsidRDefault="00495943" w:rsidP="00690FD2">
            <w:pPr>
              <w:jc w:val="center"/>
              <w:rPr>
                <w:bCs/>
                <w:color w:val="000000"/>
                <w:sz w:val="24"/>
                <w:szCs w:val="24"/>
                <w:lang w:val="ro-RO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manometre pentru oxigen</w:t>
            </w:r>
            <w:r>
              <w:rPr>
                <w:bCs/>
                <w:color w:val="000000"/>
                <w:sz w:val="24"/>
                <w:szCs w:val="24"/>
                <w:lang w:val="ro-RO"/>
              </w:rPr>
              <w:t>,</w:t>
            </w:r>
          </w:p>
          <w:p w:rsidR="00495943" w:rsidRPr="00246696" w:rsidRDefault="00495943" w:rsidP="00690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 xml:space="preserve">8.3.1.1. </w:t>
            </w:r>
          </w:p>
        </w:tc>
        <w:tc>
          <w:tcPr>
            <w:tcW w:w="546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(-1,0 ÷ 0 ÷ 60) kgf/cm</w:t>
            </w:r>
            <w:r w:rsidRPr="00246696">
              <w:rPr>
                <w:bCs/>
                <w:color w:val="000000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813" w:type="pct"/>
            <w:vMerge w:val="restart"/>
            <w:vAlign w:val="center"/>
          </w:tcPr>
          <w:p w:rsidR="00495943" w:rsidRPr="00246696" w:rsidRDefault="00495943" w:rsidP="00690F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GB"/>
              </w:rPr>
            </w:pPr>
            <w:r w:rsidRPr="00246696">
              <w:rPr>
                <w:bCs/>
                <w:color w:val="000000"/>
                <w:sz w:val="24"/>
                <w:szCs w:val="24"/>
                <w:lang w:val="ro-RO"/>
              </w:rPr>
              <w:t>Clasa 1,5; 1,6; 2,5; 4,0</w:t>
            </w:r>
          </w:p>
        </w:tc>
        <w:tc>
          <w:tcPr>
            <w:tcW w:w="1175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1 Verificarea aspectului exterior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МИ 2124-90, pct. 5.1.1 – 5.1.4</w:t>
            </w:r>
          </w:p>
        </w:tc>
      </w:tr>
      <w:tr w:rsidR="00495943" w:rsidRPr="00246696" w:rsidTr="00690FD2">
        <w:trPr>
          <w:trHeight w:val="605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2 Verificarea poziționării acului indicator la poziția zero a scării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МИ 2124-90, pct. 5.2.1 – 5.2.3</w:t>
            </w:r>
          </w:p>
        </w:tc>
      </w:tr>
      <w:tr w:rsidR="00495943" w:rsidRPr="00246696" w:rsidTr="00690FD2">
        <w:trPr>
          <w:trHeight w:val="154"/>
        </w:trPr>
        <w:tc>
          <w:tcPr>
            <w:tcW w:w="187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1240" w:type="pct"/>
            <w:vMerge/>
          </w:tcPr>
          <w:p w:rsidR="00495943" w:rsidRPr="00246696" w:rsidRDefault="00495943" w:rsidP="00690FD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46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vMerge/>
          </w:tcPr>
          <w:p w:rsidR="00495943" w:rsidRPr="00246696" w:rsidRDefault="00495943" w:rsidP="00690FD2">
            <w:pPr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175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ro-RO"/>
              </w:rPr>
            </w:pPr>
            <w:r w:rsidRPr="00246696">
              <w:rPr>
                <w:sz w:val="24"/>
                <w:szCs w:val="24"/>
                <w:lang w:val="ro-RO"/>
              </w:rPr>
              <w:t>3 Determinarea erorii absolute și variației</w:t>
            </w:r>
          </w:p>
        </w:tc>
        <w:tc>
          <w:tcPr>
            <w:tcW w:w="1039" w:type="pct"/>
            <w:vAlign w:val="center"/>
          </w:tcPr>
          <w:p w:rsidR="00495943" w:rsidRPr="00246696" w:rsidRDefault="00495943" w:rsidP="00690FD2">
            <w:pPr>
              <w:rPr>
                <w:sz w:val="24"/>
                <w:szCs w:val="24"/>
                <w:lang w:val="en-GB"/>
              </w:rPr>
            </w:pPr>
            <w:r w:rsidRPr="00246696">
              <w:rPr>
                <w:sz w:val="24"/>
                <w:szCs w:val="24"/>
                <w:lang w:val="en-GB"/>
              </w:rPr>
              <w:t>МИ 2124-90, pct. 5.3.1 – 5.3.14</w:t>
            </w:r>
          </w:p>
        </w:tc>
      </w:tr>
    </w:tbl>
    <w:p w:rsidR="00495943" w:rsidRDefault="00495943" w:rsidP="00495943">
      <w:pPr>
        <w:ind w:right="-810" w:firstLine="450"/>
        <w:rPr>
          <w:sz w:val="24"/>
          <w:szCs w:val="24"/>
          <w:lang w:val="ro-RO" w:eastAsia="en-GB"/>
        </w:rPr>
      </w:pPr>
    </w:p>
    <w:p w:rsidR="00495943" w:rsidRDefault="00495943" w:rsidP="00495943">
      <w:pPr>
        <w:ind w:right="-810" w:firstLine="450"/>
        <w:rPr>
          <w:sz w:val="24"/>
          <w:szCs w:val="24"/>
          <w:lang w:val="ro-RO" w:eastAsia="en-GB"/>
        </w:rPr>
      </w:pPr>
      <w:r w:rsidRPr="00246696">
        <w:rPr>
          <w:sz w:val="24"/>
          <w:szCs w:val="24"/>
          <w:lang w:val="ro-RO" w:eastAsia="en-GB"/>
        </w:rPr>
        <w:t>*poziția trebuie să corespundă tabelului din Lista oficială a mijloacelor de măsurare şi a măsurărilor supuse controlului metrologic legal, aprobate prin Hotărîrea Guvernului nr. 1042/2016.</w:t>
      </w:r>
    </w:p>
    <w:p w:rsidR="00495943" w:rsidRDefault="00495943" w:rsidP="00495943"/>
    <w:p w:rsidR="0055418A" w:rsidRPr="0064055C" w:rsidRDefault="0055418A" w:rsidP="0065778B">
      <w:pPr>
        <w:spacing w:after="0" w:line="240" w:lineRule="auto"/>
        <w:ind w:left="3261" w:right="-568" w:hanging="2835"/>
        <w:rPr>
          <w:rFonts w:ascii="Calibri" w:eastAsia="Times New Roman" w:hAnsi="Calibri" w:cs="Times New Roman"/>
          <w:sz w:val="16"/>
          <w:szCs w:val="16"/>
          <w:lang w:val="ro-RO" w:eastAsia="ru-RU"/>
        </w:rPr>
      </w:pPr>
    </w:p>
    <w:sectPr w:rsidR="0055418A" w:rsidRPr="0064055C" w:rsidSect="004959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10" w:right="900" w:bottom="1170" w:left="993" w:header="11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A1" w:rsidRDefault="007422A1" w:rsidP="003550DA">
      <w:pPr>
        <w:spacing w:after="0" w:line="240" w:lineRule="auto"/>
      </w:pPr>
      <w:r>
        <w:separator/>
      </w:r>
    </w:p>
  </w:endnote>
  <w:endnote w:type="continuationSeparator" w:id="1">
    <w:p w:rsidR="007422A1" w:rsidRDefault="007422A1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B74F4F" w:rsidRDefault="00506594" w:rsidP="00743041">
    <w:pPr>
      <w:ind w:left="-450"/>
    </w:pPr>
  </w:p>
  <w:p w:rsidR="00506594" w:rsidRDefault="005065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8B" w:rsidRPr="0065778B" w:rsidRDefault="0065778B" w:rsidP="0065778B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</w:rPr>
    </w:pPr>
    <w:r w:rsidRPr="0065778B">
      <w:rPr>
        <w:rFonts w:ascii="Calibri Light" w:hAnsi="Calibri Light" w:cs="Calibri Light"/>
        <w:sz w:val="18"/>
        <w:szCs w:val="18"/>
      </w:rPr>
      <w:t>Piaţa Marii Adunări Naţionale nr. 1, Chişinău, MD-2012, tel. +373 022 250107, fax +373 022 234064</w:t>
    </w:r>
  </w:p>
  <w:p w:rsidR="00506594" w:rsidRPr="00117583" w:rsidRDefault="0065778B" w:rsidP="0065778B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</w:rPr>
    </w:pPr>
    <w:r w:rsidRPr="0065778B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D16244">
        <w:rPr>
          <w:rStyle w:val="a5"/>
          <w:rFonts w:ascii="Calibri Light" w:hAnsi="Calibri Light" w:cs="Calibri Light"/>
          <w:sz w:val="18"/>
          <w:szCs w:val="18"/>
        </w:rPr>
        <w:t>secretariat@mei.gov.md</w:t>
      </w:r>
    </w:hyperlink>
    <w:r w:rsidRPr="0065778B">
      <w:rPr>
        <w:rFonts w:ascii="Calibri Light" w:hAnsi="Calibri Light" w:cs="Calibri Light"/>
        <w:sz w:val="18"/>
        <w:szCs w:val="18"/>
      </w:rPr>
      <w:t>,</w:t>
    </w:r>
    <w:r>
      <w:rPr>
        <w:rFonts w:ascii="Calibri Light" w:hAnsi="Calibri Light" w:cs="Calibri Light"/>
        <w:sz w:val="18"/>
        <w:szCs w:val="18"/>
      </w:rPr>
      <w:t xml:space="preserve"> </w:t>
    </w:r>
    <w:r w:rsidRPr="0065778B">
      <w:rPr>
        <w:rFonts w:ascii="Calibri Light" w:hAnsi="Calibri Light" w:cs="Calibri Light"/>
        <w:sz w:val="18"/>
        <w:szCs w:val="18"/>
      </w:rPr>
      <w:t xml:space="preserve"> pagina web: </w:t>
    </w:r>
    <w:hyperlink r:id="rId2" w:history="1">
      <w:r w:rsidRPr="00D16244">
        <w:rPr>
          <w:rStyle w:val="a5"/>
          <w:rFonts w:ascii="Calibri Light" w:hAnsi="Calibri Light" w:cs="Calibri Light"/>
          <w:sz w:val="18"/>
          <w:szCs w:val="18"/>
        </w:rPr>
        <w:t>www.mei.gov.md</w:t>
      </w:r>
    </w:hyperlink>
    <w:r>
      <w:rPr>
        <w:rFonts w:ascii="Calibri Light" w:hAnsi="Calibri Light" w:cs="Calibri Light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A1" w:rsidRDefault="007422A1" w:rsidP="003550DA">
      <w:pPr>
        <w:spacing w:after="0" w:line="240" w:lineRule="auto"/>
      </w:pPr>
      <w:r>
        <w:separator/>
      </w:r>
    </w:p>
  </w:footnote>
  <w:footnote w:type="continuationSeparator" w:id="1">
    <w:p w:rsidR="007422A1" w:rsidRDefault="007422A1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>
    <w:pPr>
      <w:pStyle w:val="a6"/>
    </w:pPr>
  </w:p>
  <w:p w:rsidR="00506594" w:rsidRDefault="005065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5F281E">
    <w:pPr>
      <w:pStyle w:val="a6"/>
      <w:jc w:val="center"/>
    </w:pPr>
  </w:p>
  <w:p w:rsidR="00506594" w:rsidRDefault="00506594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B6" w:rsidRDefault="00101EB6" w:rsidP="00943C96">
    <w:pPr>
      <w:pStyle w:val="a6"/>
      <w:jc w:val="right"/>
    </w:pPr>
  </w:p>
  <w:p w:rsidR="00506594" w:rsidRDefault="00506594" w:rsidP="00943C96">
    <w:pPr>
      <w:pStyle w:val="a6"/>
      <w:jc w:val="right"/>
    </w:pPr>
  </w:p>
  <w:p w:rsidR="00506594" w:rsidRDefault="00DD4C28">
    <w:pPr>
      <w:pStyle w:val="a6"/>
    </w:pPr>
    <w:r w:rsidRPr="00DD4C28">
      <w:rPr>
        <w:noProof/>
        <w:lang w:val="ru-RU" w:eastAsia="zh-CN"/>
      </w:rPr>
      <w:drawing>
        <wp:inline distT="0" distB="0" distL="0" distR="0">
          <wp:extent cx="6496050" cy="781050"/>
          <wp:effectExtent l="0" t="0" r="0" b="0"/>
          <wp:docPr id="1" name="Picture 1" descr="\\172.17.25.170\Moldlex\Datalex\Legi_Rom\DE\A19\gm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25.170\Moldlex\Datalex\Legi_Rom\DE\A19\gme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94" w:rsidRDefault="00506594">
    <w:pPr>
      <w:pStyle w:val="a6"/>
    </w:pPr>
  </w:p>
  <w:p w:rsidR="00506594" w:rsidRDefault="00506594">
    <w:pPr>
      <w:pStyle w:val="a6"/>
    </w:pP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ORDIN</w:t>
    </w: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Nr</w:t>
    </w:r>
    <w:r w:rsidRPr="009575CD">
      <w:rPr>
        <w:rFonts w:cs="Calibri"/>
        <w:sz w:val="28"/>
        <w:szCs w:val="28"/>
      </w:rPr>
      <w:t>.</w:t>
    </w:r>
    <w:r w:rsidR="009575CD" w:rsidRPr="009575CD">
      <w:rPr>
        <w:rFonts w:cs="Calibri"/>
        <w:sz w:val="28"/>
        <w:szCs w:val="28"/>
        <w:u w:val="single"/>
      </w:rPr>
      <w:t xml:space="preserve">  </w:t>
    </w:r>
    <w:r w:rsidR="00A56922">
      <w:rPr>
        <w:rFonts w:cs="Calibri"/>
        <w:sz w:val="28"/>
        <w:szCs w:val="28"/>
        <w:u w:val="single"/>
      </w:rPr>
      <w:t>43</w:t>
    </w:r>
    <w:r w:rsidR="009575CD" w:rsidRPr="009575CD">
      <w:rPr>
        <w:rFonts w:cs="Calibri"/>
        <w:sz w:val="28"/>
        <w:szCs w:val="28"/>
        <w:u w:val="single"/>
      </w:rPr>
      <w:t xml:space="preserve">  </w:t>
    </w:r>
    <w:r w:rsidRPr="00627F20">
      <w:rPr>
        <w:rFonts w:cs="Calibri"/>
        <w:sz w:val="28"/>
        <w:szCs w:val="28"/>
      </w:rPr>
      <w:t xml:space="preserve"> din  </w:t>
    </w:r>
    <w:r w:rsidRPr="009575CD">
      <w:rPr>
        <w:rFonts w:cs="Calibri"/>
        <w:sz w:val="28"/>
        <w:szCs w:val="28"/>
      </w:rPr>
      <w:t>“</w:t>
    </w:r>
    <w:r w:rsidR="009575CD" w:rsidRPr="009575CD">
      <w:rPr>
        <w:rFonts w:cs="Calibri"/>
        <w:sz w:val="28"/>
        <w:szCs w:val="28"/>
        <w:u w:val="single"/>
      </w:rPr>
      <w:t xml:space="preserve">  </w:t>
    </w:r>
    <w:r w:rsidR="00A56922">
      <w:rPr>
        <w:rFonts w:cs="Calibri"/>
        <w:sz w:val="28"/>
        <w:szCs w:val="28"/>
        <w:u w:val="single"/>
      </w:rPr>
      <w:t>12</w:t>
    </w:r>
    <w:r w:rsidR="009575CD" w:rsidRPr="009575CD">
      <w:rPr>
        <w:rFonts w:cs="Calibri"/>
        <w:sz w:val="28"/>
        <w:szCs w:val="28"/>
        <w:u w:val="single"/>
      </w:rPr>
      <w:t xml:space="preserve"> </w:t>
    </w:r>
    <w:r w:rsidRPr="00627F20">
      <w:rPr>
        <w:rFonts w:cs="Calibri"/>
        <w:sz w:val="28"/>
        <w:szCs w:val="28"/>
      </w:rPr>
      <w:t xml:space="preserve">” </w:t>
    </w:r>
    <w:r w:rsidR="009575CD">
      <w:rPr>
        <w:rFonts w:cs="Calibri"/>
        <w:sz w:val="28"/>
        <w:szCs w:val="28"/>
      </w:rPr>
      <w:t xml:space="preserve"> </w:t>
    </w:r>
    <w:r w:rsidR="009575CD" w:rsidRPr="009575CD">
      <w:rPr>
        <w:rFonts w:cs="Calibri"/>
        <w:sz w:val="28"/>
        <w:szCs w:val="28"/>
        <w:u w:val="single"/>
      </w:rPr>
      <w:t xml:space="preserve"> </w:t>
    </w:r>
    <w:r w:rsidR="00A56922">
      <w:rPr>
        <w:rFonts w:cs="Calibri"/>
        <w:sz w:val="28"/>
        <w:szCs w:val="28"/>
        <w:u w:val="single"/>
      </w:rPr>
      <w:t xml:space="preserve">    </w:t>
    </w:r>
    <w:r w:rsidR="009575CD" w:rsidRPr="009575CD">
      <w:rPr>
        <w:rFonts w:cs="Calibri"/>
        <w:sz w:val="28"/>
        <w:szCs w:val="28"/>
        <w:u w:val="single"/>
      </w:rPr>
      <w:t xml:space="preserve"> </w:t>
    </w:r>
    <w:r w:rsidR="00A56922">
      <w:rPr>
        <w:rFonts w:cs="Calibri"/>
        <w:sz w:val="28"/>
        <w:szCs w:val="28"/>
        <w:u w:val="single"/>
      </w:rPr>
      <w:t xml:space="preserve">02    </w:t>
    </w:r>
    <w:r w:rsidR="009575CD" w:rsidRPr="009575CD">
      <w:rPr>
        <w:rFonts w:cs="Calibri"/>
        <w:sz w:val="28"/>
        <w:szCs w:val="28"/>
        <w:u w:val="single"/>
      </w:rPr>
      <w:t xml:space="preserve">  </w:t>
    </w:r>
    <w:r w:rsidRPr="00627F20">
      <w:rPr>
        <w:rFonts w:cs="Calibri"/>
        <w:sz w:val="28"/>
        <w:szCs w:val="28"/>
      </w:rPr>
      <w:t>201</w:t>
    </w:r>
    <w:r w:rsidR="00D157EB">
      <w:rPr>
        <w:rFonts w:cs="Calibri"/>
        <w:sz w:val="28"/>
        <w:szCs w:val="28"/>
      </w:rPr>
      <w:t>9</w:t>
    </w:r>
  </w:p>
  <w:p w:rsidR="00506594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mun. Chişinău</w:t>
    </w:r>
  </w:p>
  <w:p w:rsidR="00101EB6" w:rsidRDefault="00101EB6" w:rsidP="00101EB6">
    <w:pPr>
      <w:spacing w:after="0"/>
      <w:ind w:left="-450" w:firstLine="1170"/>
      <w:jc w:val="center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E2"/>
    <w:multiLevelType w:val="hybridMultilevel"/>
    <w:tmpl w:val="EDC650C4"/>
    <w:lvl w:ilvl="0" w:tplc="08E80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44"/>
    <w:multiLevelType w:val="hybridMultilevel"/>
    <w:tmpl w:val="446C4F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72A4"/>
    <w:multiLevelType w:val="hybridMultilevel"/>
    <w:tmpl w:val="0EC86162"/>
    <w:lvl w:ilvl="0" w:tplc="08225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3881"/>
    <w:rsid w:val="00005A51"/>
    <w:rsid w:val="00017EA1"/>
    <w:rsid w:val="0002599B"/>
    <w:rsid w:val="000362D3"/>
    <w:rsid w:val="0005069F"/>
    <w:rsid w:val="00076473"/>
    <w:rsid w:val="000A35D1"/>
    <w:rsid w:val="000B0614"/>
    <w:rsid w:val="000B6B9D"/>
    <w:rsid w:val="000C3B4A"/>
    <w:rsid w:val="000E1673"/>
    <w:rsid w:val="000E46F0"/>
    <w:rsid w:val="00100E3C"/>
    <w:rsid w:val="00101EB6"/>
    <w:rsid w:val="0010443B"/>
    <w:rsid w:val="001046B4"/>
    <w:rsid w:val="00110D53"/>
    <w:rsid w:val="00117583"/>
    <w:rsid w:val="0013017C"/>
    <w:rsid w:val="00171A55"/>
    <w:rsid w:val="00172A77"/>
    <w:rsid w:val="0017651E"/>
    <w:rsid w:val="001831A2"/>
    <w:rsid w:val="001B2E1B"/>
    <w:rsid w:val="001D4823"/>
    <w:rsid w:val="001D72F4"/>
    <w:rsid w:val="00224721"/>
    <w:rsid w:val="0023029D"/>
    <w:rsid w:val="00245071"/>
    <w:rsid w:val="002641A1"/>
    <w:rsid w:val="00264849"/>
    <w:rsid w:val="002A1168"/>
    <w:rsid w:val="002F09BE"/>
    <w:rsid w:val="002F1441"/>
    <w:rsid w:val="002F7ACD"/>
    <w:rsid w:val="00307792"/>
    <w:rsid w:val="00322CA1"/>
    <w:rsid w:val="0034483A"/>
    <w:rsid w:val="003550DA"/>
    <w:rsid w:val="0036372B"/>
    <w:rsid w:val="00366998"/>
    <w:rsid w:val="00371C31"/>
    <w:rsid w:val="00390976"/>
    <w:rsid w:val="003A0408"/>
    <w:rsid w:val="003A33F0"/>
    <w:rsid w:val="003D6AC9"/>
    <w:rsid w:val="00417F31"/>
    <w:rsid w:val="00432344"/>
    <w:rsid w:val="004416A5"/>
    <w:rsid w:val="00443B28"/>
    <w:rsid w:val="00481362"/>
    <w:rsid w:val="0048754F"/>
    <w:rsid w:val="00495943"/>
    <w:rsid w:val="004A6DC3"/>
    <w:rsid w:val="004B70E2"/>
    <w:rsid w:val="004F5C1A"/>
    <w:rsid w:val="00502941"/>
    <w:rsid w:val="00506594"/>
    <w:rsid w:val="00513385"/>
    <w:rsid w:val="005228B7"/>
    <w:rsid w:val="005239F7"/>
    <w:rsid w:val="00534104"/>
    <w:rsid w:val="00537C90"/>
    <w:rsid w:val="00551C70"/>
    <w:rsid w:val="0055418A"/>
    <w:rsid w:val="00554AC0"/>
    <w:rsid w:val="0056046C"/>
    <w:rsid w:val="0057618E"/>
    <w:rsid w:val="005C49BD"/>
    <w:rsid w:val="005C5EBB"/>
    <w:rsid w:val="005D2AC0"/>
    <w:rsid w:val="005F281E"/>
    <w:rsid w:val="00625026"/>
    <w:rsid w:val="006272C1"/>
    <w:rsid w:val="00627F20"/>
    <w:rsid w:val="00637D6B"/>
    <w:rsid w:val="0064055C"/>
    <w:rsid w:val="006449F5"/>
    <w:rsid w:val="00651F6B"/>
    <w:rsid w:val="0065778B"/>
    <w:rsid w:val="0065796D"/>
    <w:rsid w:val="006646D1"/>
    <w:rsid w:val="006677D0"/>
    <w:rsid w:val="00690AC2"/>
    <w:rsid w:val="00696BAB"/>
    <w:rsid w:val="006B7540"/>
    <w:rsid w:val="006C1D55"/>
    <w:rsid w:val="006E3575"/>
    <w:rsid w:val="006F03E3"/>
    <w:rsid w:val="006F14A0"/>
    <w:rsid w:val="006F5557"/>
    <w:rsid w:val="007422A1"/>
    <w:rsid w:val="00743041"/>
    <w:rsid w:val="0076054B"/>
    <w:rsid w:val="007615BC"/>
    <w:rsid w:val="00765056"/>
    <w:rsid w:val="00790613"/>
    <w:rsid w:val="007D45D1"/>
    <w:rsid w:val="007F037D"/>
    <w:rsid w:val="007F0F6D"/>
    <w:rsid w:val="00815DCD"/>
    <w:rsid w:val="008433B7"/>
    <w:rsid w:val="008434E2"/>
    <w:rsid w:val="00847782"/>
    <w:rsid w:val="00875236"/>
    <w:rsid w:val="0088231A"/>
    <w:rsid w:val="008935A3"/>
    <w:rsid w:val="008953C3"/>
    <w:rsid w:val="00896B63"/>
    <w:rsid w:val="00896CCB"/>
    <w:rsid w:val="008B2EFF"/>
    <w:rsid w:val="008D0B57"/>
    <w:rsid w:val="008E53A2"/>
    <w:rsid w:val="008F11EC"/>
    <w:rsid w:val="008F2B23"/>
    <w:rsid w:val="0090708C"/>
    <w:rsid w:val="00913CB5"/>
    <w:rsid w:val="009159D7"/>
    <w:rsid w:val="00943C96"/>
    <w:rsid w:val="009575CD"/>
    <w:rsid w:val="009918DD"/>
    <w:rsid w:val="00992024"/>
    <w:rsid w:val="0099579F"/>
    <w:rsid w:val="009C44BF"/>
    <w:rsid w:val="009C79AE"/>
    <w:rsid w:val="00A104BD"/>
    <w:rsid w:val="00A27302"/>
    <w:rsid w:val="00A3062F"/>
    <w:rsid w:val="00A33BA8"/>
    <w:rsid w:val="00A34C9F"/>
    <w:rsid w:val="00A56922"/>
    <w:rsid w:val="00A6236B"/>
    <w:rsid w:val="00A66A36"/>
    <w:rsid w:val="00A823F3"/>
    <w:rsid w:val="00A84995"/>
    <w:rsid w:val="00A92221"/>
    <w:rsid w:val="00AA0259"/>
    <w:rsid w:val="00AD5761"/>
    <w:rsid w:val="00AE2485"/>
    <w:rsid w:val="00AF03CE"/>
    <w:rsid w:val="00AF3384"/>
    <w:rsid w:val="00B062C6"/>
    <w:rsid w:val="00B42E2A"/>
    <w:rsid w:val="00B43B0D"/>
    <w:rsid w:val="00B47638"/>
    <w:rsid w:val="00B63BBD"/>
    <w:rsid w:val="00B74F4F"/>
    <w:rsid w:val="00B8658A"/>
    <w:rsid w:val="00B97462"/>
    <w:rsid w:val="00BA05FA"/>
    <w:rsid w:val="00BB1F5D"/>
    <w:rsid w:val="00C25BED"/>
    <w:rsid w:val="00C640CA"/>
    <w:rsid w:val="00C71ECE"/>
    <w:rsid w:val="00C82A02"/>
    <w:rsid w:val="00CD321E"/>
    <w:rsid w:val="00CE2025"/>
    <w:rsid w:val="00CE6244"/>
    <w:rsid w:val="00CE7C7C"/>
    <w:rsid w:val="00CF0245"/>
    <w:rsid w:val="00CF41AA"/>
    <w:rsid w:val="00D004CD"/>
    <w:rsid w:val="00D12F97"/>
    <w:rsid w:val="00D157EB"/>
    <w:rsid w:val="00D22AE7"/>
    <w:rsid w:val="00D3501B"/>
    <w:rsid w:val="00D41527"/>
    <w:rsid w:val="00D5527A"/>
    <w:rsid w:val="00D64F9E"/>
    <w:rsid w:val="00D76090"/>
    <w:rsid w:val="00D80FAF"/>
    <w:rsid w:val="00D8243C"/>
    <w:rsid w:val="00D952C5"/>
    <w:rsid w:val="00DA428B"/>
    <w:rsid w:val="00DA487D"/>
    <w:rsid w:val="00DA612F"/>
    <w:rsid w:val="00DA77FC"/>
    <w:rsid w:val="00DA787D"/>
    <w:rsid w:val="00DB0703"/>
    <w:rsid w:val="00DC5F20"/>
    <w:rsid w:val="00DD4C28"/>
    <w:rsid w:val="00DF480B"/>
    <w:rsid w:val="00E058A9"/>
    <w:rsid w:val="00E15396"/>
    <w:rsid w:val="00E50E82"/>
    <w:rsid w:val="00E86420"/>
    <w:rsid w:val="00E879E5"/>
    <w:rsid w:val="00EB3334"/>
    <w:rsid w:val="00ED6195"/>
    <w:rsid w:val="00F005A9"/>
    <w:rsid w:val="00F10039"/>
    <w:rsid w:val="00F15948"/>
    <w:rsid w:val="00F33263"/>
    <w:rsid w:val="00F45606"/>
    <w:rsid w:val="00F6227B"/>
    <w:rsid w:val="00F930D5"/>
    <w:rsid w:val="00FA038B"/>
    <w:rsid w:val="00FA326F"/>
    <w:rsid w:val="00FB4463"/>
    <w:rsid w:val="00FC1128"/>
    <w:rsid w:val="00FD00BC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06"/>
  </w:style>
  <w:style w:type="paragraph" w:styleId="1">
    <w:name w:val="heading 1"/>
    <w:basedOn w:val="a"/>
    <w:next w:val="a"/>
    <w:link w:val="10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table" w:styleId="aa">
    <w:name w:val="Table Grid"/>
    <w:basedOn w:val="a1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b">
    <w:name w:val="Body Text Indent"/>
    <w:basedOn w:val="a"/>
    <w:link w:val="ac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245071"/>
    <w:rPr>
      <w:b/>
      <w:bCs/>
    </w:rPr>
  </w:style>
  <w:style w:type="paragraph" w:styleId="ae">
    <w:name w:val="Normal (Web)"/>
    <w:basedOn w:val="a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a0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2">
    <w:name w:val="Сетка таблицы2"/>
    <w:basedOn w:val="a1"/>
    <w:rsid w:val="00495943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.gov.md" TargetMode="External"/><Relationship Id="rId1" Type="http://schemas.openxmlformats.org/officeDocument/2006/relationships/hyperlink" Target="mailto:secretariat@mei.gov.m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E108-242F-4457-BC8C-C91AE6CB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2019-02-01T12:21:00Z</cp:lastPrinted>
  <dcterms:created xsi:type="dcterms:W3CDTF">2019-07-03T10:59:00Z</dcterms:created>
  <dcterms:modified xsi:type="dcterms:W3CDTF">2019-07-03T12:13:00Z</dcterms:modified>
</cp:coreProperties>
</file>