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8167D2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procedurii de măsurare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 3-01:2004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04586B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PM 3-01:2004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167D2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04586B" w:rsidRDefault="0004586B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04586B">
              <w:rPr>
                <w:color w:val="000000"/>
                <w:sz w:val="28"/>
                <w:szCs w:val="28"/>
                <w:lang w:val="ro-RO"/>
              </w:rPr>
              <w:t>Determinarea masei produselor petroliere prin metoda de măsurare volumetrică statică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04586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10.04.2004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E4500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8167D2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167D2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B226A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Hotărârea 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 xml:space="preserve">departamentului </w:t>
            </w:r>
            <w:r>
              <w:rPr>
                <w:rFonts w:cstheme="minorHAnsi"/>
                <w:sz w:val="24"/>
                <w:szCs w:val="24"/>
                <w:lang w:val="ro-RO"/>
              </w:rPr>
              <w:t>MOLDOVA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>-STANDARD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nr. 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>1459-M din 16.02.2004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51CA3-A3CF-4535-9164-104DB4BD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5</cp:revision>
  <dcterms:created xsi:type="dcterms:W3CDTF">2017-08-08T07:36:00Z</dcterms:created>
  <dcterms:modified xsi:type="dcterms:W3CDTF">2017-08-14T08:13:00Z</dcterms:modified>
</cp:coreProperties>
</file>