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1785"/>
        <w:gridCol w:w="265"/>
        <w:gridCol w:w="352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EB3F1B">
              <w:rPr>
                <w:rFonts w:cstheme="minorHAnsi"/>
                <w:sz w:val="28"/>
                <w:szCs w:val="28"/>
                <w:lang w:val="ro-RO"/>
              </w:rPr>
              <w:t>102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EB3F1B">
              <w:rPr>
                <w:rFonts w:cstheme="minorHAnsi"/>
                <w:sz w:val="28"/>
                <w:szCs w:val="28"/>
                <w:lang w:val="ro-RO"/>
              </w:rPr>
              <w:t>102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EB661C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25" w:type="dxa"/>
            <w:gridSpan w:val="2"/>
          </w:tcPr>
          <w:p w:rsidR="00E42FE7" w:rsidRPr="00EB661C" w:rsidRDefault="00EB661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B661C">
              <w:rPr>
                <w:color w:val="000000"/>
                <w:sz w:val="28"/>
                <w:szCs w:val="28"/>
                <w:lang w:val="ro-RO"/>
              </w:rPr>
              <w:t>Verificarea metrologică a elementului de adunare-scădere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B661C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A3E2-7369-4D06-9395-D159FD2C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2017-08-10T11:31:00Z</dcterms:created>
  <dcterms:modified xsi:type="dcterms:W3CDTF">2017-08-10T11:32:00Z</dcterms:modified>
</cp:coreProperties>
</file>