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20198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F56F3A">
              <w:rPr>
                <w:rFonts w:cstheme="minorHAnsi"/>
                <w:sz w:val="28"/>
                <w:szCs w:val="28"/>
                <w:lang w:val="ro-RO"/>
              </w:rPr>
              <w:t>82</w:t>
            </w:r>
            <w:r w:rsidR="00B74351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F56F3A">
              <w:rPr>
                <w:rFonts w:cstheme="minorHAnsi"/>
                <w:sz w:val="28"/>
                <w:szCs w:val="28"/>
                <w:lang w:val="ro-RO"/>
              </w:rPr>
              <w:t>82</w:t>
            </w:r>
            <w:r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0198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F56F3A" w:rsidRDefault="00F56F3A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56F3A">
              <w:rPr>
                <w:color w:val="000000"/>
                <w:sz w:val="28"/>
                <w:szCs w:val="28"/>
                <w:lang w:val="ro-RO"/>
              </w:rPr>
              <w:t>Verificarea metrologică a aparatului pentru măsurarea sarcinii în  cablu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F56F3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11A2-7955-4C22-84D8-19D6671C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2017-08-09T07:32:00Z</dcterms:created>
  <dcterms:modified xsi:type="dcterms:W3CDTF">2017-08-09T07:33:00Z</dcterms:modified>
</cp:coreProperties>
</file>