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F57257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F57257">
              <w:rPr>
                <w:rFonts w:cstheme="minorHAnsi"/>
                <w:sz w:val="28"/>
                <w:szCs w:val="28"/>
                <w:lang w:val="ro-RO"/>
              </w:rPr>
              <w:t>53-87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C2D07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F57257">
              <w:rPr>
                <w:rFonts w:cstheme="minorHAnsi"/>
                <w:sz w:val="28"/>
                <w:szCs w:val="28"/>
                <w:lang w:val="ro-RO"/>
              </w:rPr>
              <w:t>53-87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57257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F57257" w:rsidRDefault="00F57257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57257">
              <w:rPr>
                <w:color w:val="000000"/>
                <w:sz w:val="28"/>
                <w:szCs w:val="28"/>
                <w:lang w:val="ro-RO"/>
              </w:rPr>
              <w:t>Verificarea metrologică a debitmetrelor diferenţiale cu plutitor, clopot, balanţă inelară şi element elastic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5C2D0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BC8A-2968-4947-92FB-3106D1F9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2017-08-10T05:48:00Z</dcterms:created>
  <dcterms:modified xsi:type="dcterms:W3CDTF">2017-08-10T05:50:00Z</dcterms:modified>
</cp:coreProperties>
</file>