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C2D07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5C2D07">
              <w:rPr>
                <w:rFonts w:cstheme="minorHAnsi"/>
                <w:sz w:val="28"/>
                <w:szCs w:val="28"/>
                <w:lang w:val="ro-RO"/>
              </w:rPr>
              <w:t>31-82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C2D07">
              <w:rPr>
                <w:rFonts w:cstheme="minorHAnsi"/>
                <w:sz w:val="28"/>
                <w:szCs w:val="28"/>
                <w:lang w:val="ro-RO"/>
              </w:rPr>
              <w:t>131-82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C2D07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5C2D07" w:rsidRDefault="005C2D07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C2D07">
              <w:rPr>
                <w:color w:val="000000"/>
                <w:sz w:val="28"/>
                <w:szCs w:val="28"/>
                <w:lang w:val="ro-RO"/>
              </w:rPr>
              <w:t>Verificarea metrologică a manometrelor, vacuummetrelor şi manovacuummetrelor cu semnal de ieşire unificat pneumatic (traductoare pneumatice)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5C2D0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D76B-2DB5-4AA8-AC66-2979A148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2017-08-09T08:08:00Z</dcterms:created>
  <dcterms:modified xsi:type="dcterms:W3CDTF">2017-08-09T08:12:00Z</dcterms:modified>
</cp:coreProperties>
</file>