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F6141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50E2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E1C8C">
              <w:rPr>
                <w:rFonts w:cstheme="minorHAnsi"/>
                <w:sz w:val="28"/>
                <w:szCs w:val="28"/>
                <w:lang w:val="ro-RO"/>
              </w:rPr>
              <w:t>9-87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50E2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E1C8C">
              <w:rPr>
                <w:rFonts w:cstheme="minorHAnsi"/>
                <w:sz w:val="28"/>
                <w:szCs w:val="28"/>
                <w:lang w:val="ro-RO"/>
              </w:rPr>
              <w:t>9-87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F6141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0E1C8C" w:rsidRDefault="000E1C8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E1C8C">
              <w:rPr>
                <w:color w:val="000000"/>
                <w:sz w:val="28"/>
                <w:szCs w:val="28"/>
                <w:lang w:val="ro-RO"/>
              </w:rPr>
              <w:t>Verificarea metrologică a manometrelor cu piston şi greutăţi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0E1C8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12C3-DFEB-4167-813D-C74199B8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2017-08-09T07:40:00Z</dcterms:created>
  <dcterms:modified xsi:type="dcterms:W3CDTF">2017-08-09T07:41:00Z</dcterms:modified>
</cp:coreProperties>
</file>