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167A0E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167A0E">
              <w:rPr>
                <w:rFonts w:cstheme="minorHAnsi"/>
                <w:sz w:val="28"/>
                <w:szCs w:val="28"/>
                <w:lang w:val="ro-RO"/>
              </w:rPr>
              <w:t>303</w:t>
            </w:r>
            <w:r w:rsidR="00254295"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254295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167A0E">
              <w:rPr>
                <w:rFonts w:cstheme="minorHAnsi"/>
                <w:sz w:val="28"/>
                <w:szCs w:val="28"/>
                <w:lang w:val="ro-RO"/>
              </w:rPr>
              <w:t>303</w:t>
            </w:r>
            <w:r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67A0E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167A0E" w:rsidRDefault="00167A0E" w:rsidP="00484CAB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67A0E">
              <w:rPr>
                <w:color w:val="000000"/>
                <w:sz w:val="28"/>
                <w:szCs w:val="28"/>
                <w:lang w:val="ro-RO"/>
              </w:rPr>
              <w:t>Verificarea metrologică  aparatelor pentru controlul angrenării pe două flancuri a roţilor dinţate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167A0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D5DB-897C-49EB-93D2-5F46BE5F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2017-08-09T06:55:00Z</dcterms:created>
  <dcterms:modified xsi:type="dcterms:W3CDTF">2017-08-09T06:57:00Z</dcterms:modified>
</cp:coreProperties>
</file>