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2E3458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226A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7056BF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ED277F">
              <w:rPr>
                <w:rFonts w:cstheme="minorHAnsi"/>
                <w:sz w:val="28"/>
                <w:szCs w:val="28"/>
                <w:lang w:val="ro-RO"/>
              </w:rPr>
              <w:t>9-86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552F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7056BF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ED277F">
              <w:rPr>
                <w:rFonts w:cstheme="minorHAnsi"/>
                <w:sz w:val="28"/>
                <w:szCs w:val="28"/>
                <w:lang w:val="ro-RO"/>
              </w:rPr>
              <w:t>9-86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3458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ED277F" w:rsidRDefault="00ED277F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ED277F">
              <w:rPr>
                <w:color w:val="000000"/>
                <w:sz w:val="28"/>
                <w:szCs w:val="28"/>
                <w:lang w:val="ro-RO"/>
              </w:rPr>
              <w:t>Verificarea metrologică a pasametrelor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B226A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E45005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15105B"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3458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B226A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2017-08-08T07:30:00Z</dcterms:created>
  <dcterms:modified xsi:type="dcterms:W3CDTF">2017-08-08T07:31:00Z</dcterms:modified>
</cp:coreProperties>
</file>