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162639">
              <w:rPr>
                <w:rFonts w:cstheme="minorHAnsi"/>
                <w:sz w:val="28"/>
                <w:szCs w:val="28"/>
                <w:lang w:val="ro-RO"/>
              </w:rPr>
              <w:t>74</w:t>
            </w:r>
            <w:r w:rsidR="008A1305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CE0F39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</w:t>
            </w:r>
            <w:r w:rsidR="00162639">
              <w:rPr>
                <w:rFonts w:cstheme="minorHAnsi"/>
                <w:sz w:val="28"/>
                <w:szCs w:val="28"/>
                <w:lang w:val="ro-RO"/>
              </w:rPr>
              <w:t>74</w:t>
            </w:r>
            <w:r w:rsidR="008A1305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162639" w:rsidRDefault="00162639" w:rsidP="002302FA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62639">
              <w:rPr>
                <w:color w:val="000000"/>
                <w:sz w:val="28"/>
                <w:szCs w:val="28"/>
                <w:lang w:val="ro-RO"/>
              </w:rPr>
              <w:t>Verificarea metrologică a vitezometrelor electromagnetice pentru autovehicule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162639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23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2017-08-08T11:50:00Z</dcterms:created>
  <dcterms:modified xsi:type="dcterms:W3CDTF">2017-08-08T11:51:00Z</dcterms:modified>
</cp:coreProperties>
</file>