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226AB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666522">
              <w:rPr>
                <w:rFonts w:cstheme="minorHAnsi"/>
                <w:sz w:val="28"/>
                <w:szCs w:val="28"/>
                <w:lang w:val="ro-RO"/>
              </w:rPr>
              <w:t>13-7</w:t>
            </w:r>
            <w:r w:rsidR="00B226A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666522">
              <w:rPr>
                <w:rFonts w:cstheme="minorHAnsi"/>
                <w:sz w:val="28"/>
                <w:szCs w:val="28"/>
                <w:lang w:val="ro-RO"/>
              </w:rPr>
              <w:t>3-7</w:t>
            </w:r>
            <w:r w:rsidR="00B226AB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226AB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666522" w:rsidRDefault="00666522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66522">
              <w:rPr>
                <w:color w:val="000000"/>
                <w:sz w:val="28"/>
                <w:szCs w:val="28"/>
                <w:lang w:val="ro-RO"/>
              </w:rPr>
              <w:t>Etalonarea şi verificarea metrologică a calelor plan-paralele cu lungimea nominală de la 0,1mm la 1000 mm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66652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226A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2017-08-08T07:14:00Z</dcterms:created>
  <dcterms:modified xsi:type="dcterms:W3CDTF">2017-08-08T07:15:00Z</dcterms:modified>
</cp:coreProperties>
</file>