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BA4EB7">
              <w:rPr>
                <w:rFonts w:cstheme="minorHAnsi"/>
                <w:sz w:val="28"/>
                <w:szCs w:val="28"/>
                <w:lang w:val="ro-RO"/>
              </w:rPr>
              <w:t>7-88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CE0F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1-12</w:t>
            </w:r>
            <w:r w:rsidR="00BA4EB7">
              <w:rPr>
                <w:rFonts w:cstheme="minorHAnsi"/>
                <w:sz w:val="28"/>
                <w:szCs w:val="28"/>
                <w:lang w:val="ro-RO"/>
              </w:rPr>
              <w:t>7-88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BA4EB7" w:rsidRDefault="00BA4EB7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A4EB7">
              <w:rPr>
                <w:color w:val="000000"/>
                <w:sz w:val="28"/>
                <w:szCs w:val="28"/>
                <w:lang w:val="ro-RO"/>
              </w:rPr>
              <w:t>Verificarea metrologică a măsurilor etalon secundar de volum, metalice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A4EB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2017-08-08T11:47:00Z</dcterms:created>
  <dcterms:modified xsi:type="dcterms:W3CDTF">2017-08-08T11:48:00Z</dcterms:modified>
</cp:coreProperties>
</file>