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2302FA">
              <w:rPr>
                <w:rFonts w:cstheme="minorHAnsi"/>
                <w:sz w:val="28"/>
                <w:szCs w:val="28"/>
                <w:lang w:val="ro-RO"/>
              </w:rPr>
              <w:t>3/3</w:t>
            </w:r>
            <w:r w:rsidR="00CE0F39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2302FA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</w:t>
            </w:r>
            <w:r w:rsidR="002302FA">
              <w:rPr>
                <w:rFonts w:cstheme="minorHAnsi"/>
                <w:sz w:val="28"/>
                <w:szCs w:val="28"/>
                <w:lang w:val="ro-RO"/>
              </w:rPr>
              <w:t>3/3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2302FA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2302FA" w:rsidRDefault="002302FA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302FA">
              <w:rPr>
                <w:color w:val="000000"/>
                <w:sz w:val="28"/>
                <w:szCs w:val="28"/>
                <w:lang w:val="ro-RO"/>
              </w:rPr>
              <w:t>Verificarea metrologică a rezervoarelor. Calibrarea rezervoarelor cilindrice verticale cu capac fix prin metoda geometrică directă şi prin metoda mixtă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2302F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2017-08-08T11:39:00Z</dcterms:created>
  <dcterms:modified xsi:type="dcterms:W3CDTF">2017-08-08T11:40:00Z</dcterms:modified>
</cp:coreProperties>
</file>