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60302">
              <w:rPr>
                <w:rFonts w:cstheme="minorHAnsi"/>
                <w:sz w:val="28"/>
                <w:szCs w:val="28"/>
                <w:lang w:val="en-US"/>
              </w:rPr>
              <w:t>97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160302">
              <w:rPr>
                <w:rFonts w:cstheme="minorHAnsi"/>
                <w:sz w:val="28"/>
                <w:szCs w:val="28"/>
                <w:lang w:val="en-US"/>
              </w:rPr>
              <w:t>97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60302" w:rsidRDefault="00160302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60302">
              <w:rPr>
                <w:sz w:val="28"/>
                <w:szCs w:val="28"/>
              </w:rPr>
              <w:t>Порядок представления вторичных эталонов единиц физических величин на утверждение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F95ED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60302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816E9-6D2B-4044-81B0-2650D35C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2017-08-17T08:21:00Z</dcterms:created>
  <dcterms:modified xsi:type="dcterms:W3CDTF">2017-08-17T08:22:00Z</dcterms:modified>
</cp:coreProperties>
</file>