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5B6F66">
              <w:rPr>
                <w:rFonts w:cstheme="minorHAnsi"/>
                <w:sz w:val="28"/>
                <w:szCs w:val="28"/>
                <w:lang w:val="en-US"/>
              </w:rPr>
              <w:t>954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5B6F66">
              <w:rPr>
                <w:rFonts w:cstheme="minorHAnsi"/>
                <w:sz w:val="28"/>
                <w:szCs w:val="28"/>
                <w:lang w:val="en-US"/>
              </w:rPr>
              <w:t>954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B6F66" w:rsidRDefault="005B6F66" w:rsidP="006B313B">
            <w:pPr>
              <w:cnfStyle w:val="000000000000"/>
              <w:rPr>
                <w:sz w:val="28"/>
                <w:szCs w:val="28"/>
              </w:rPr>
            </w:pPr>
            <w:r w:rsidRPr="005B6F66">
              <w:rPr>
                <w:sz w:val="28"/>
                <w:szCs w:val="28"/>
              </w:rPr>
              <w:t>Методические указания. Индикаторы многооборотные. Модели 05205,05305(0±5мм).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5B6F6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2017-08-23T06:51:00Z</dcterms:created>
  <dcterms:modified xsi:type="dcterms:W3CDTF">2017-08-23T06:51:00Z</dcterms:modified>
</cp:coreProperties>
</file>