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D65A6">
              <w:rPr>
                <w:rFonts w:cstheme="minorHAnsi"/>
                <w:sz w:val="28"/>
                <w:szCs w:val="28"/>
                <w:lang w:val="en-US"/>
              </w:rPr>
              <w:t>836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323F1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AD65A6">
              <w:rPr>
                <w:rFonts w:cstheme="minorHAnsi"/>
                <w:sz w:val="28"/>
                <w:szCs w:val="28"/>
                <w:lang w:val="en-US"/>
              </w:rPr>
              <w:t>36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D65A6" w:rsidRDefault="00AD65A6" w:rsidP="001D0189">
            <w:pPr>
              <w:cnfStyle w:val="000000000000"/>
              <w:rPr>
                <w:sz w:val="28"/>
                <w:szCs w:val="28"/>
              </w:rPr>
            </w:pPr>
            <w:r w:rsidRPr="00AD65A6">
              <w:rPr>
                <w:sz w:val="28"/>
                <w:szCs w:val="28"/>
              </w:rPr>
              <w:t>Методические указания. Длинномер вертикальный  ИЗВ-29.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AD65A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2017-08-23T06:38:00Z</dcterms:created>
  <dcterms:modified xsi:type="dcterms:W3CDTF">2017-08-23T06:38:00Z</dcterms:modified>
</cp:coreProperties>
</file>