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D466C5">
              <w:rPr>
                <w:rFonts w:cstheme="minorHAnsi"/>
                <w:sz w:val="28"/>
                <w:szCs w:val="28"/>
                <w:lang w:val="en-US"/>
              </w:rPr>
              <w:t>75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D466C5">
              <w:rPr>
                <w:rFonts w:cstheme="minorHAnsi"/>
                <w:sz w:val="28"/>
                <w:szCs w:val="28"/>
                <w:lang w:val="en-US"/>
              </w:rPr>
              <w:t>75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466C5" w:rsidRDefault="00D466C5" w:rsidP="005B72DE">
            <w:pPr>
              <w:cnfStyle w:val="000000000000"/>
              <w:rPr>
                <w:sz w:val="28"/>
                <w:szCs w:val="28"/>
              </w:rPr>
            </w:pPr>
            <w:r w:rsidRPr="00D466C5">
              <w:rPr>
                <w:sz w:val="28"/>
                <w:szCs w:val="28"/>
              </w:rPr>
              <w:t>Методические указания. Методика проведения государственных контрольных испытаний средств измерений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20E8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0E8A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168F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1C38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6C5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2017-08-23T06:26:00Z</dcterms:created>
  <dcterms:modified xsi:type="dcterms:W3CDTF">2017-08-23T06:27:00Z</dcterms:modified>
</cp:coreProperties>
</file>