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720E8A">
              <w:rPr>
                <w:rFonts w:cstheme="minorHAnsi"/>
                <w:sz w:val="28"/>
                <w:szCs w:val="28"/>
                <w:lang w:val="en-US"/>
              </w:rPr>
              <w:t>70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720E8A">
              <w:rPr>
                <w:rFonts w:cstheme="minorHAnsi"/>
                <w:sz w:val="28"/>
                <w:szCs w:val="28"/>
                <w:lang w:val="en-US"/>
              </w:rPr>
              <w:t>70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20E8A" w:rsidRDefault="00720E8A" w:rsidP="005B72DE">
            <w:pPr>
              <w:cnfStyle w:val="000000000000"/>
              <w:rPr>
                <w:sz w:val="28"/>
                <w:szCs w:val="28"/>
              </w:rPr>
            </w:pPr>
            <w:r w:rsidRPr="00720E8A">
              <w:rPr>
                <w:sz w:val="28"/>
                <w:szCs w:val="28"/>
              </w:rPr>
              <w:t>Методические указания. Определение потребности поверочных подразделений в производственных ресурсах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720E8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008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0E8A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168F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676D"/>
    <w:rsid w:val="00F30AF5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2017-08-23T06:26:00Z</dcterms:created>
  <dcterms:modified xsi:type="dcterms:W3CDTF">2017-08-23T06:26:00Z</dcterms:modified>
</cp:coreProperties>
</file>