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C083D">
              <w:rPr>
                <w:rFonts w:cstheme="minorHAnsi"/>
                <w:sz w:val="28"/>
                <w:szCs w:val="28"/>
              </w:rPr>
              <w:t>302</w:t>
            </w:r>
            <w:r w:rsidR="00E10ACE">
              <w:rPr>
                <w:rFonts w:cstheme="minorHAnsi"/>
                <w:sz w:val="28"/>
                <w:szCs w:val="28"/>
              </w:rPr>
              <w:t>-83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3C083D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302</w:t>
            </w:r>
            <w:r w:rsidR="00E10ACE">
              <w:rPr>
                <w:rFonts w:cstheme="minorHAnsi"/>
                <w:sz w:val="28"/>
                <w:szCs w:val="28"/>
              </w:rPr>
              <w:t>-83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C083D" w:rsidRDefault="003C083D" w:rsidP="003C083D">
            <w:pPr>
              <w:cnfStyle w:val="000000000000"/>
              <w:rPr>
                <w:sz w:val="28"/>
                <w:szCs w:val="28"/>
              </w:rPr>
            </w:pPr>
            <w:r w:rsidRPr="003C083D">
              <w:rPr>
                <w:sz w:val="28"/>
                <w:szCs w:val="28"/>
              </w:rPr>
              <w:t>Методические указания. Преобразователи расхода турбинные. Методы и средства поверки на узлах учета нефти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3C083D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B0916-4259-4A01-9146-83CBF0E0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2017-08-22T08:09:00Z</dcterms:created>
  <dcterms:modified xsi:type="dcterms:W3CDTF">2017-08-22T08:13:00Z</dcterms:modified>
</cp:coreProperties>
</file>