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AA3C41">
              <w:rPr>
                <w:rFonts w:cstheme="minorHAnsi"/>
                <w:sz w:val="28"/>
                <w:szCs w:val="28"/>
              </w:rPr>
              <w:t>41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AA3C41">
              <w:rPr>
                <w:rFonts w:cstheme="minorHAnsi"/>
                <w:sz w:val="28"/>
                <w:szCs w:val="28"/>
              </w:rPr>
              <w:t>41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40BE6" w:rsidRDefault="00040BE6" w:rsidP="00040BE6">
            <w:pPr>
              <w:cnfStyle w:val="000000000000"/>
              <w:rPr>
                <w:sz w:val="28"/>
                <w:szCs w:val="28"/>
              </w:rPr>
            </w:pPr>
            <w:r w:rsidRPr="00040BE6">
              <w:rPr>
                <w:sz w:val="28"/>
                <w:szCs w:val="28"/>
              </w:rPr>
              <w:t>Методические указания. Машина для испытания проволоки на скручивание 2089 МТС.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3F172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C20E-8277-4CCA-8E60-3639E8CA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2017-08-21T11:15:00Z</dcterms:created>
  <dcterms:modified xsi:type="dcterms:W3CDTF">2017-08-21T13:45:00Z</dcterms:modified>
</cp:coreProperties>
</file>