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16A6" w:rsidRDefault="0096263A" w:rsidP="00E4707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0E5FAA">
              <w:rPr>
                <w:rFonts w:cstheme="minorHAnsi"/>
                <w:sz w:val="28"/>
                <w:szCs w:val="28"/>
              </w:rPr>
              <w:t>22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0E5FAA">
              <w:rPr>
                <w:rFonts w:cstheme="minorHAnsi"/>
                <w:sz w:val="28"/>
                <w:szCs w:val="28"/>
              </w:rPr>
              <w:t>22</w:t>
            </w:r>
            <w:r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E5FAA" w:rsidRDefault="000E5FAA" w:rsidP="00C71A33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0E5FAA">
              <w:rPr>
                <w:sz w:val="28"/>
                <w:szCs w:val="28"/>
              </w:rPr>
              <w:t>Методика расчета метрологических характеристик измерительных каналов информационно-измерительных систем по метрологическим характеристикам компонентов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0E5FAA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B668-D7DD-46C1-A3FA-B93D040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2017-08-21T10:26:00Z</dcterms:created>
  <dcterms:modified xsi:type="dcterms:W3CDTF">2017-08-21T10:27:00Z</dcterms:modified>
</cp:coreProperties>
</file>