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54F04">
              <w:rPr>
                <w:rFonts w:cstheme="minorHAnsi"/>
                <w:sz w:val="28"/>
                <w:szCs w:val="28"/>
              </w:rPr>
              <w:t>86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54F04">
              <w:rPr>
                <w:rFonts w:cstheme="minorHAnsi"/>
                <w:sz w:val="28"/>
                <w:szCs w:val="28"/>
              </w:rPr>
              <w:t>86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954F04" w:rsidRDefault="00954F04" w:rsidP="00172C9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954F04">
              <w:rPr>
                <w:sz w:val="28"/>
                <w:szCs w:val="28"/>
              </w:rPr>
              <w:t>Меры длины концевые плоскопараллельные образцовые 3 и 4-го разрядов и рабочие классов точности 1-5 длинной свыше 100 до 1000 мм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954F04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2017-08-28T06:50:00Z</dcterms:created>
  <dcterms:modified xsi:type="dcterms:W3CDTF">2017-08-28T06:51:00Z</dcterms:modified>
</cp:coreProperties>
</file>