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E07FAD">
              <w:rPr>
                <w:rFonts w:cstheme="minorHAnsi"/>
                <w:sz w:val="28"/>
                <w:szCs w:val="28"/>
                <w:lang w:val="ro-RO"/>
              </w:rPr>
              <w:t>123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E07FAD">
              <w:rPr>
                <w:rFonts w:cstheme="minorHAnsi"/>
                <w:sz w:val="28"/>
                <w:szCs w:val="28"/>
                <w:lang w:val="ro-RO"/>
              </w:rPr>
              <w:t>123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E07FAD" w:rsidRDefault="00E07FAD" w:rsidP="007A3A81">
            <w:pPr>
              <w:cnfStyle w:val="000000000000"/>
              <w:rPr>
                <w:sz w:val="28"/>
                <w:szCs w:val="28"/>
              </w:rPr>
            </w:pPr>
            <w:r w:rsidRPr="00E07FAD">
              <w:rPr>
                <w:sz w:val="28"/>
                <w:szCs w:val="28"/>
              </w:rPr>
              <w:t>Государственная поверочная схема для средств измерений поверхностной плотности и толщины листовых и ленточных материалов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4A53B7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2017-08-25T08:29:00Z</dcterms:created>
  <dcterms:modified xsi:type="dcterms:W3CDTF">2017-08-25T08:29:00Z</dcterms:modified>
</cp:coreProperties>
</file>