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4A53B7">
              <w:rPr>
                <w:rFonts w:cstheme="minorHAnsi"/>
                <w:sz w:val="28"/>
                <w:szCs w:val="28"/>
                <w:lang w:val="ro-RO"/>
              </w:rPr>
              <w:t>121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4A53B7">
              <w:rPr>
                <w:rFonts w:cstheme="minorHAnsi"/>
                <w:sz w:val="28"/>
                <w:szCs w:val="28"/>
                <w:lang w:val="ro-RO"/>
              </w:rPr>
              <w:t>121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4A53B7" w:rsidRDefault="004A53B7" w:rsidP="007A3A81">
            <w:pPr>
              <w:cnfStyle w:val="000000000000"/>
              <w:rPr>
                <w:sz w:val="28"/>
                <w:szCs w:val="28"/>
              </w:rPr>
            </w:pPr>
            <w:r w:rsidRPr="004A53B7">
              <w:rPr>
                <w:sz w:val="28"/>
                <w:szCs w:val="28"/>
              </w:rPr>
              <w:t>Государственная поверочная схема для средств измерений ускорения свободного падения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E02D24" w:rsidRDefault="004A53B7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2017-08-25T08:28:00Z</dcterms:created>
  <dcterms:modified xsi:type="dcterms:W3CDTF">2017-08-25T08:29:00Z</dcterms:modified>
</cp:coreProperties>
</file>