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2710C1">
              <w:rPr>
                <w:rFonts w:cstheme="minorHAnsi"/>
                <w:sz w:val="28"/>
                <w:szCs w:val="28"/>
                <w:lang w:val="ro-RO"/>
              </w:rPr>
              <w:t>92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F93AD5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2710C1">
              <w:rPr>
                <w:rFonts w:cstheme="minorHAnsi"/>
                <w:sz w:val="28"/>
                <w:szCs w:val="28"/>
                <w:lang w:val="ro-RO"/>
              </w:rPr>
              <w:t>92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710C1" w:rsidRDefault="002710C1" w:rsidP="002710C1">
            <w:pPr>
              <w:cnfStyle w:val="000000000000"/>
              <w:rPr>
                <w:sz w:val="28"/>
                <w:szCs w:val="28"/>
              </w:rPr>
            </w:pPr>
            <w:r w:rsidRPr="002710C1">
              <w:rPr>
                <w:sz w:val="28"/>
                <w:szCs w:val="28"/>
              </w:rPr>
              <w:t>Масса мазута в цистернах железнодорожного маршрута. Методика выполнения измерений объемно-массовым методом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2710C1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2017-08-25T08:23:00Z</dcterms:created>
  <dcterms:modified xsi:type="dcterms:W3CDTF">2017-08-25T08:24:00Z</dcterms:modified>
</cp:coreProperties>
</file>