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BD719A">
              <w:rPr>
                <w:rFonts w:cstheme="minorHAnsi"/>
                <w:sz w:val="28"/>
                <w:szCs w:val="28"/>
                <w:lang w:val="ro-RO"/>
              </w:rPr>
              <w:t>90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BD719A">
              <w:rPr>
                <w:rFonts w:cstheme="minorHAnsi"/>
                <w:sz w:val="28"/>
                <w:szCs w:val="28"/>
                <w:lang w:val="ro-RO"/>
              </w:rPr>
              <w:t>90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D719A" w:rsidRDefault="00BD719A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BD719A">
              <w:rPr>
                <w:sz w:val="28"/>
                <w:szCs w:val="28"/>
              </w:rPr>
              <w:t>Определение динамических характеристик линейных аналоговых средств измерений с сосредоточенными параметрами. Общие положения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BD719A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2017-08-25T08:16:00Z</dcterms:created>
  <dcterms:modified xsi:type="dcterms:W3CDTF">2017-08-25T08:22:00Z</dcterms:modified>
</cp:coreProperties>
</file>