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1E77C5">
              <w:rPr>
                <w:rFonts w:cstheme="minorHAnsi"/>
                <w:sz w:val="28"/>
                <w:szCs w:val="28"/>
                <w:lang w:val="ro-RO"/>
              </w:rPr>
              <w:t>56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1E77C5">
              <w:rPr>
                <w:rFonts w:cstheme="minorHAnsi"/>
                <w:sz w:val="28"/>
                <w:szCs w:val="28"/>
                <w:lang w:val="ro-RO"/>
              </w:rPr>
              <w:t>56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1E77C5" w:rsidRDefault="001E77C5" w:rsidP="00D277B2">
            <w:pPr>
              <w:cnfStyle w:val="000000000000"/>
              <w:rPr>
                <w:sz w:val="28"/>
                <w:szCs w:val="28"/>
                <w:lang w:val="ro-RO"/>
              </w:rPr>
            </w:pPr>
            <w:r w:rsidRPr="001E77C5">
              <w:rPr>
                <w:sz w:val="28"/>
                <w:szCs w:val="28"/>
              </w:rPr>
              <w:t>Пробки пневматические для отверстий диаметром от 3 до160 мм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1E77C5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2017-08-25T07:46:00Z</dcterms:created>
  <dcterms:modified xsi:type="dcterms:W3CDTF">2017-08-25T07:47:00Z</dcterms:modified>
</cp:coreProperties>
</file>