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7D2A64">
              <w:rPr>
                <w:rFonts w:cstheme="minorHAnsi"/>
                <w:sz w:val="28"/>
                <w:szCs w:val="28"/>
                <w:lang w:val="ro-RO"/>
              </w:rPr>
              <w:t>55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7D2A64">
              <w:rPr>
                <w:rFonts w:cstheme="minorHAnsi"/>
                <w:sz w:val="28"/>
                <w:szCs w:val="28"/>
                <w:lang w:val="ro-RO"/>
              </w:rPr>
              <w:t>55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D2A64" w:rsidRDefault="007D2A64" w:rsidP="00D277B2">
            <w:pPr>
              <w:cnfStyle w:val="000000000000"/>
              <w:rPr>
                <w:sz w:val="28"/>
                <w:szCs w:val="28"/>
                <w:lang w:val="ro-RO"/>
              </w:rPr>
            </w:pPr>
            <w:r w:rsidRPr="007D2A64">
              <w:rPr>
                <w:sz w:val="28"/>
                <w:szCs w:val="28"/>
              </w:rPr>
              <w:t>Государственная поверочная схема для средств измерений скорости распространения продольных ультразвуковых волн в твердых средах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7D2A64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2017-08-25T07:45:00Z</dcterms:created>
  <dcterms:modified xsi:type="dcterms:W3CDTF">2017-08-25T07:46:00Z</dcterms:modified>
</cp:coreProperties>
</file>