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2B0AB4">
              <w:rPr>
                <w:rFonts w:cstheme="minorHAnsi"/>
                <w:sz w:val="28"/>
                <w:szCs w:val="28"/>
                <w:lang w:val="ro-RO"/>
              </w:rPr>
              <w:t>50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2B0AB4">
              <w:rPr>
                <w:rFonts w:cstheme="minorHAnsi"/>
                <w:sz w:val="28"/>
                <w:szCs w:val="28"/>
                <w:lang w:val="ro-RO"/>
              </w:rPr>
              <w:t>50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B0AB4" w:rsidRDefault="002B0AB4" w:rsidP="00D277B2">
            <w:pPr>
              <w:cnfStyle w:val="000000000000"/>
              <w:rPr>
                <w:sz w:val="28"/>
                <w:szCs w:val="28"/>
              </w:rPr>
            </w:pPr>
            <w:r w:rsidRPr="002B0AB4">
              <w:rPr>
                <w:sz w:val="28"/>
                <w:szCs w:val="28"/>
              </w:rPr>
              <w:t>Установки поверочные поглощенной и эквивалентной дозы фотонного излучения. Методика метрологической аттестации и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F4158C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B0AB4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2017-08-25T07:37:00Z</dcterms:created>
  <dcterms:modified xsi:type="dcterms:W3CDTF">2017-08-25T07:37:00Z</dcterms:modified>
</cp:coreProperties>
</file>