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973E50">
              <w:rPr>
                <w:rFonts w:cstheme="minorHAnsi"/>
                <w:sz w:val="28"/>
                <w:szCs w:val="28"/>
                <w:lang w:val="ro-RO"/>
              </w:rPr>
              <w:t>29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973E50">
              <w:rPr>
                <w:rFonts w:cstheme="minorHAnsi"/>
                <w:sz w:val="28"/>
                <w:szCs w:val="28"/>
                <w:lang w:val="ro-RO"/>
              </w:rPr>
              <w:t>29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73E50" w:rsidRDefault="00973E50" w:rsidP="008521D1">
            <w:pPr>
              <w:cnfStyle w:val="000000000000"/>
              <w:rPr>
                <w:sz w:val="28"/>
                <w:szCs w:val="28"/>
              </w:rPr>
            </w:pPr>
            <w:r w:rsidRPr="00973E50">
              <w:rPr>
                <w:sz w:val="28"/>
                <w:szCs w:val="28"/>
              </w:rPr>
              <w:t>Призмы поверочные и разметочные с одной призматической выемкой и накладкой. Методика контроля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973E50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2017-08-25T07:08:00Z</dcterms:created>
  <dcterms:modified xsi:type="dcterms:W3CDTF">2017-08-25T07:08:00Z</dcterms:modified>
</cp:coreProperties>
</file>