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312A9B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312A9B">
              <w:rPr>
                <w:rFonts w:cstheme="minorHAnsi"/>
                <w:sz w:val="28"/>
                <w:szCs w:val="28"/>
                <w:lang w:val="ro-RO"/>
              </w:rPr>
              <w:t>21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12A9B" w:rsidRDefault="00312A9B" w:rsidP="008521D1">
            <w:pPr>
              <w:cnfStyle w:val="000000000000"/>
              <w:rPr>
                <w:sz w:val="28"/>
                <w:szCs w:val="28"/>
              </w:rPr>
            </w:pPr>
            <w:r w:rsidRPr="00312A9B">
              <w:rPr>
                <w:sz w:val="28"/>
                <w:szCs w:val="28"/>
              </w:rPr>
              <w:t>Метрологическое обеспечение гибких производственных систем. Основные положения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C96A33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2017-08-25T07:05:00Z</dcterms:created>
  <dcterms:modified xsi:type="dcterms:W3CDTF">2017-08-25T07:06:00Z</dcterms:modified>
</cp:coreProperties>
</file>