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C96A33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C96A33">
              <w:rPr>
                <w:rFonts w:cstheme="minorHAnsi"/>
                <w:sz w:val="28"/>
                <w:szCs w:val="28"/>
                <w:lang w:val="ro-RO"/>
              </w:rPr>
              <w:t>11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C96A33" w:rsidRDefault="00C96A33" w:rsidP="008521D1">
            <w:pPr>
              <w:cnfStyle w:val="000000000000"/>
              <w:rPr>
                <w:sz w:val="28"/>
                <w:szCs w:val="28"/>
              </w:rPr>
            </w:pPr>
            <w:r w:rsidRPr="00C96A33">
              <w:rPr>
                <w:sz w:val="28"/>
                <w:szCs w:val="28"/>
              </w:rPr>
              <w:t>Дозиметры гамма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C96A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C96A33">
              <w:rPr>
                <w:sz w:val="28"/>
                <w:szCs w:val="28"/>
              </w:rPr>
              <w:t>нейтронного излучения ионизационные.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C96A33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2017-08-25T07:00:00Z</dcterms:created>
  <dcterms:modified xsi:type="dcterms:W3CDTF">2017-08-25T07:04:00Z</dcterms:modified>
</cp:coreProperties>
</file>