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401AFA">
              <w:rPr>
                <w:rFonts w:cstheme="minorHAnsi"/>
                <w:sz w:val="28"/>
                <w:szCs w:val="28"/>
              </w:rPr>
              <w:t>2000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401AFA">
              <w:rPr>
                <w:rFonts w:cstheme="minorHAnsi"/>
                <w:sz w:val="28"/>
                <w:szCs w:val="28"/>
              </w:rPr>
              <w:t>2000</w:t>
            </w:r>
            <w:r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401AFA" w:rsidRDefault="00401AFA" w:rsidP="00796BA8">
            <w:pPr>
              <w:cnfStyle w:val="000000000000"/>
              <w:rPr>
                <w:sz w:val="28"/>
                <w:szCs w:val="28"/>
              </w:rPr>
            </w:pPr>
            <w:r w:rsidRPr="00401AFA">
              <w:rPr>
                <w:sz w:val="28"/>
                <w:szCs w:val="28"/>
              </w:rPr>
              <w:t>Трубы аэродинамические малых дозвуковых скоростей. Методика метрологической аттестации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F875ED" w:rsidRDefault="00B951A8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2017-08-25T05:45:00Z</dcterms:created>
  <dcterms:modified xsi:type="dcterms:W3CDTF">2017-08-25T05:46:00Z</dcterms:modified>
</cp:coreProperties>
</file>