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B951A8">
              <w:rPr>
                <w:rFonts w:cstheme="minorHAnsi"/>
                <w:sz w:val="28"/>
                <w:szCs w:val="28"/>
              </w:rPr>
              <w:t>98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B951A8">
              <w:rPr>
                <w:rFonts w:cstheme="minorHAnsi"/>
                <w:sz w:val="28"/>
                <w:szCs w:val="28"/>
              </w:rPr>
              <w:t>98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B951A8" w:rsidRDefault="00B951A8" w:rsidP="00796BA8">
            <w:pPr>
              <w:cnfStyle w:val="000000000000"/>
              <w:rPr>
                <w:sz w:val="28"/>
                <w:szCs w:val="28"/>
              </w:rPr>
            </w:pPr>
            <w:r w:rsidRPr="00B951A8">
              <w:rPr>
                <w:sz w:val="28"/>
                <w:szCs w:val="28"/>
              </w:rPr>
              <w:t>Энергетические спектры излучений рентгеновских аппаратов. Методика выполнений измерений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F875ED" w:rsidRDefault="00B951A8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2017-08-25T05:44:00Z</dcterms:created>
  <dcterms:modified xsi:type="dcterms:W3CDTF">2017-08-25T05:45:00Z</dcterms:modified>
</cp:coreProperties>
</file>