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345BB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 w:rsidRPr="008A3270">
              <w:rPr>
                <w:rFonts w:cstheme="minorHAnsi"/>
                <w:sz w:val="28"/>
                <w:szCs w:val="28"/>
              </w:rPr>
              <w:t>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0B5CD8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8A3270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МИ 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0B5CD8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B5CD8" w:rsidRDefault="000B5CD8" w:rsidP="00C71A33">
            <w:pPr>
              <w:cnfStyle w:val="000000000000"/>
              <w:rPr>
                <w:sz w:val="28"/>
                <w:szCs w:val="28"/>
              </w:rPr>
            </w:pPr>
            <w:r w:rsidRPr="000B5CD8">
              <w:rPr>
                <w:sz w:val="28"/>
                <w:szCs w:val="28"/>
              </w:rPr>
              <w:t>Акустическая эмиссия. Термины и определения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81349" w:rsidRDefault="009D6289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B5CD8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E88D-DC78-4D23-A48B-0B65F27E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2017-08-21T07:38:00Z</dcterms:created>
  <dcterms:modified xsi:type="dcterms:W3CDTF">2017-08-21T07:39:00Z</dcterms:modified>
</cp:coreProperties>
</file>