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DB77E5">
              <w:rPr>
                <w:rFonts w:cstheme="minorHAnsi"/>
                <w:sz w:val="28"/>
                <w:szCs w:val="28"/>
                <w:lang w:val="en-US"/>
              </w:rPr>
              <w:t>53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DB77E5">
              <w:rPr>
                <w:rFonts w:cstheme="minorHAnsi"/>
                <w:sz w:val="28"/>
                <w:szCs w:val="28"/>
                <w:lang w:val="en-US"/>
              </w:rPr>
              <w:t>53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B77E5" w:rsidRDefault="00DB77E5" w:rsidP="00796BA8">
            <w:pPr>
              <w:cnfStyle w:val="000000000000"/>
              <w:rPr>
                <w:sz w:val="28"/>
                <w:szCs w:val="28"/>
              </w:rPr>
            </w:pPr>
            <w:r w:rsidRPr="00DB77E5">
              <w:rPr>
                <w:sz w:val="28"/>
                <w:szCs w:val="28"/>
              </w:rPr>
              <w:t>Масса народнохозяйственных грузов при бестарных перевозках. Методика выполнения измерений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013882" w:rsidRDefault="00DB77E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2017-08-25T05:29:00Z</dcterms:created>
  <dcterms:modified xsi:type="dcterms:W3CDTF">2017-08-25T05:29:00Z</dcterms:modified>
</cp:coreProperties>
</file>