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D03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DD650A">
              <w:rPr>
                <w:rFonts w:cstheme="minorHAnsi"/>
                <w:sz w:val="28"/>
                <w:szCs w:val="28"/>
                <w:lang w:val="en-US"/>
              </w:rPr>
              <w:t>893</w:t>
            </w:r>
            <w:r w:rsidR="008616A6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88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8616A6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DD650A">
              <w:rPr>
                <w:rFonts w:cstheme="minorHAnsi"/>
                <w:sz w:val="28"/>
                <w:szCs w:val="28"/>
                <w:lang w:val="en-US"/>
              </w:rPr>
              <w:t>893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-88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DD650A" w:rsidRDefault="00DD650A" w:rsidP="00226C30">
            <w:pPr>
              <w:cnfStyle w:val="000000000000"/>
              <w:rPr>
                <w:sz w:val="28"/>
                <w:szCs w:val="28"/>
              </w:rPr>
            </w:pPr>
            <w:r w:rsidRPr="00DD650A">
              <w:rPr>
                <w:sz w:val="28"/>
                <w:szCs w:val="28"/>
              </w:rPr>
              <w:t>Щупы. Методика контроля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EB015E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C30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2017-08-24T11:48:00Z</dcterms:created>
  <dcterms:modified xsi:type="dcterms:W3CDTF">2017-08-24T11:49:00Z</dcterms:modified>
</cp:coreProperties>
</file>