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8845FA">
              <w:rPr>
                <w:rFonts w:cstheme="minorHAnsi"/>
                <w:sz w:val="28"/>
                <w:szCs w:val="28"/>
                <w:lang w:val="en-US"/>
              </w:rPr>
              <w:t>888</w:t>
            </w:r>
            <w:r w:rsidR="008616A6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88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8616A6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8845FA">
              <w:rPr>
                <w:rFonts w:cstheme="minorHAnsi"/>
                <w:sz w:val="28"/>
                <w:szCs w:val="28"/>
                <w:lang w:val="en-US"/>
              </w:rPr>
              <w:t>888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-88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8845FA" w:rsidRDefault="008845FA" w:rsidP="00226C30">
            <w:pPr>
              <w:cnfStyle w:val="000000000000"/>
              <w:rPr>
                <w:sz w:val="28"/>
                <w:szCs w:val="28"/>
              </w:rPr>
            </w:pPr>
            <w:r w:rsidRPr="008845FA">
              <w:rPr>
                <w:sz w:val="28"/>
                <w:szCs w:val="28"/>
              </w:rPr>
              <w:t>Нормальные условия измерений в гибких производственных системах. Общие положения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8845FA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C30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2017-08-24T11:47:00Z</dcterms:created>
  <dcterms:modified xsi:type="dcterms:W3CDTF">2017-08-24T11:48:00Z</dcterms:modified>
</cp:coreProperties>
</file>