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3A1D05">
              <w:rPr>
                <w:rFonts w:cstheme="minorHAnsi"/>
                <w:sz w:val="28"/>
                <w:szCs w:val="28"/>
                <w:lang w:val="en-US"/>
              </w:rPr>
              <w:t>876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3A1D05">
              <w:rPr>
                <w:rFonts w:cstheme="minorHAnsi"/>
                <w:sz w:val="28"/>
                <w:szCs w:val="28"/>
                <w:lang w:val="en-US"/>
              </w:rPr>
              <w:t>876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A1D05" w:rsidRDefault="003A1D05" w:rsidP="00226C30">
            <w:pPr>
              <w:cnfStyle w:val="000000000000"/>
              <w:rPr>
                <w:sz w:val="28"/>
                <w:szCs w:val="28"/>
              </w:rPr>
            </w:pPr>
            <w:r w:rsidRPr="003A1D05">
              <w:rPr>
                <w:sz w:val="28"/>
                <w:szCs w:val="28"/>
              </w:rPr>
              <w:t>Индикаторы многооборотные с ценой деления 0,001 и 0,002 мм.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3A1D0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2017-08-24T11:47:00Z</dcterms:created>
  <dcterms:modified xsi:type="dcterms:W3CDTF">2017-08-24T11:47:00Z</dcterms:modified>
</cp:coreProperties>
</file>