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BE623C">
              <w:rPr>
                <w:rFonts w:cstheme="minorHAnsi"/>
                <w:sz w:val="28"/>
                <w:szCs w:val="28"/>
                <w:lang w:val="en-US"/>
              </w:rPr>
              <w:t>872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BE623C">
              <w:rPr>
                <w:rFonts w:cstheme="minorHAnsi"/>
                <w:sz w:val="28"/>
                <w:szCs w:val="28"/>
                <w:lang w:val="en-US"/>
              </w:rPr>
              <w:t>872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E623C" w:rsidRDefault="00BE623C" w:rsidP="00226C30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BE623C">
              <w:rPr>
                <w:sz w:val="28"/>
                <w:szCs w:val="28"/>
              </w:rPr>
              <w:t>Межповерочные</w:t>
            </w:r>
            <w:proofErr w:type="spellEnd"/>
            <w:r w:rsidRPr="00BE623C">
              <w:rPr>
                <w:sz w:val="28"/>
                <w:szCs w:val="28"/>
              </w:rPr>
              <w:t xml:space="preserve"> интервалы образцовых средств измерений. Методика определения и корректировки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BE623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2017-08-24T11:43:00Z</dcterms:created>
  <dcterms:modified xsi:type="dcterms:W3CDTF">2017-08-24T11:45:00Z</dcterms:modified>
</cp:coreProperties>
</file>