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05053">
              <w:rPr>
                <w:rFonts w:cstheme="minorHAnsi"/>
                <w:sz w:val="28"/>
                <w:szCs w:val="28"/>
                <w:lang w:val="en-US"/>
              </w:rPr>
              <w:t>848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05053">
              <w:rPr>
                <w:rFonts w:cstheme="minorHAnsi"/>
                <w:sz w:val="28"/>
                <w:szCs w:val="28"/>
                <w:lang w:val="en-US"/>
              </w:rPr>
              <w:t>848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05053" w:rsidRDefault="00D05053" w:rsidP="00226C30">
            <w:pPr>
              <w:cnfStyle w:val="000000000000"/>
              <w:rPr>
                <w:sz w:val="28"/>
                <w:szCs w:val="28"/>
              </w:rPr>
            </w:pPr>
            <w:r w:rsidRPr="00D05053">
              <w:rPr>
                <w:sz w:val="28"/>
                <w:szCs w:val="28"/>
              </w:rPr>
              <w:t>Метры складные металлические и деревянные. 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D0505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2017-08-24T11:30:00Z</dcterms:created>
  <dcterms:modified xsi:type="dcterms:W3CDTF">2017-08-24T11:31:00Z</dcterms:modified>
</cp:coreProperties>
</file>