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E16AE7">
              <w:rPr>
                <w:rFonts w:cstheme="minorHAnsi"/>
                <w:sz w:val="28"/>
                <w:szCs w:val="28"/>
                <w:lang w:val="en-US"/>
              </w:rPr>
              <w:t>83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7-93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837-93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616A6" w:rsidRDefault="008616A6" w:rsidP="00226C30">
            <w:pPr>
              <w:cnfStyle w:val="000000000000"/>
              <w:rPr>
                <w:sz w:val="28"/>
                <w:szCs w:val="28"/>
              </w:rPr>
            </w:pPr>
            <w:proofErr w:type="gramStart"/>
            <w:r w:rsidRPr="008616A6">
              <w:rPr>
                <w:sz w:val="28"/>
                <w:szCs w:val="28"/>
              </w:rPr>
              <w:t>Типовые</w:t>
            </w:r>
            <w:proofErr w:type="gramEnd"/>
            <w:r w:rsidRPr="008616A6">
              <w:rPr>
                <w:sz w:val="28"/>
                <w:szCs w:val="28"/>
              </w:rPr>
              <w:t xml:space="preserve"> положение о контрольно-поверочном пункте территориального органа Госстандарта России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8616A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2017-08-24T11:11:00Z</dcterms:created>
  <dcterms:modified xsi:type="dcterms:W3CDTF">2017-08-24T11:12:00Z</dcterms:modified>
</cp:coreProperties>
</file>