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CC19CD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CC19CD">
              <w:rPr>
                <w:rFonts w:cstheme="minorHAnsi"/>
                <w:sz w:val="28"/>
                <w:szCs w:val="28"/>
                <w:lang w:val="en-US"/>
              </w:rPr>
              <w:t>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C19CD" w:rsidRDefault="00CC19CD" w:rsidP="00226C30">
            <w:pPr>
              <w:cnfStyle w:val="000000000000"/>
              <w:rPr>
                <w:sz w:val="28"/>
                <w:szCs w:val="28"/>
              </w:rPr>
            </w:pPr>
            <w:r w:rsidRPr="00CC19CD">
              <w:rPr>
                <w:sz w:val="28"/>
                <w:szCs w:val="28"/>
              </w:rPr>
              <w:t>Приборы дозиметрические для измерения экспозиционной дозы и мощности экспозиционной дозы, поглощенной дозы и мощности поглощенной дозы в воздухе фотонного излучения.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CC19C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16B7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9CD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2017-08-24T10:49:00Z</dcterms:created>
  <dcterms:modified xsi:type="dcterms:W3CDTF">2017-08-24T10:50:00Z</dcterms:modified>
</cp:coreProperties>
</file>