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26C30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226C30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0932F9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932F9" w:rsidRDefault="00226C30" w:rsidP="00226C30">
            <w:pPr>
              <w:cnfStyle w:val="000000000000"/>
              <w:rPr>
                <w:sz w:val="28"/>
                <w:szCs w:val="28"/>
              </w:rPr>
            </w:pPr>
            <w:r w:rsidRPr="00226C30">
              <w:rPr>
                <w:sz w:val="28"/>
                <w:szCs w:val="28"/>
              </w:rPr>
              <w:t xml:space="preserve">Динамические нагрузки на </w:t>
            </w:r>
            <w:proofErr w:type="gramStart"/>
            <w:r w:rsidRPr="00226C30">
              <w:rPr>
                <w:sz w:val="28"/>
                <w:szCs w:val="28"/>
              </w:rPr>
              <w:t>работающего</w:t>
            </w:r>
            <w:proofErr w:type="gramEnd"/>
            <w:r w:rsidRPr="00226C30">
              <w:rPr>
                <w:sz w:val="28"/>
                <w:szCs w:val="28"/>
              </w:rPr>
              <w:t>. Методика выполнения измерений энергетических затрат работающего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C03FE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226C30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2017-08-24T10:42:00Z</dcterms:created>
  <dcterms:modified xsi:type="dcterms:W3CDTF">2017-08-24T10:42:00Z</dcterms:modified>
</cp:coreProperties>
</file>