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E93FAD">
              <w:rPr>
                <w:rFonts w:cstheme="minorHAnsi"/>
                <w:sz w:val="28"/>
                <w:szCs w:val="28"/>
                <w:lang w:val="en-US"/>
              </w:rPr>
              <w:t>25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E93FAD">
              <w:rPr>
                <w:rFonts w:cstheme="minorHAnsi"/>
                <w:sz w:val="28"/>
                <w:szCs w:val="28"/>
                <w:lang w:val="en-US"/>
              </w:rPr>
              <w:t>25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93FAD" w:rsidRDefault="00E93FAD" w:rsidP="009B4B4D">
            <w:pPr>
              <w:cnfStyle w:val="000000000000"/>
              <w:rPr>
                <w:sz w:val="28"/>
                <w:szCs w:val="28"/>
              </w:rPr>
            </w:pPr>
            <w:r w:rsidRPr="00E93FAD">
              <w:rPr>
                <w:sz w:val="28"/>
                <w:szCs w:val="28"/>
              </w:rPr>
              <w:t>Головки измерительные пружинные с ценой деления 0,05 и 0.02 мкм.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2E5EB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2017-08-24T06:05:00Z</dcterms:created>
  <dcterms:modified xsi:type="dcterms:W3CDTF">2017-08-24T06:05:00Z</dcterms:modified>
</cp:coreProperties>
</file>