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6F58EA">
              <w:rPr>
                <w:rFonts w:cstheme="minorHAnsi"/>
                <w:sz w:val="28"/>
                <w:szCs w:val="28"/>
              </w:rPr>
              <w:t>68</w:t>
            </w:r>
            <w:r w:rsidR="00B40FA3">
              <w:rPr>
                <w:rFonts w:cstheme="minorHAnsi"/>
                <w:sz w:val="28"/>
                <w:szCs w:val="28"/>
              </w:rPr>
              <w:t>7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6F58EA">
              <w:rPr>
                <w:rFonts w:cstheme="minorHAnsi"/>
                <w:sz w:val="28"/>
                <w:szCs w:val="28"/>
              </w:rPr>
              <w:t>68</w:t>
            </w:r>
            <w:r w:rsidR="00B40FA3">
              <w:rPr>
                <w:rFonts w:cstheme="minorHAnsi"/>
                <w:sz w:val="28"/>
                <w:szCs w:val="28"/>
              </w:rPr>
              <w:t>7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B40FA3" w:rsidRDefault="00B40FA3" w:rsidP="00970BF2">
            <w:pPr>
              <w:cnfStyle w:val="000000000000"/>
              <w:rPr>
                <w:sz w:val="28"/>
                <w:szCs w:val="28"/>
              </w:rPr>
            </w:pPr>
            <w:r w:rsidRPr="00B40FA3">
              <w:rPr>
                <w:sz w:val="28"/>
                <w:szCs w:val="28"/>
              </w:rPr>
              <w:t>Государственная поверочная схема для средств измерений оптических вносимых потерь в компонентах волоконно-оптических систем передачи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970BF2" w:rsidRDefault="00420249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71AB"/>
    <w:rsid w:val="004D74F9"/>
    <w:rsid w:val="004D761B"/>
    <w:rsid w:val="004D766D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2017-08-23T13:16:00Z</dcterms:created>
  <dcterms:modified xsi:type="dcterms:W3CDTF">2017-08-23T13:16:00Z</dcterms:modified>
</cp:coreProperties>
</file>