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3D347A">
              <w:rPr>
                <w:rFonts w:cstheme="minorHAnsi"/>
                <w:sz w:val="28"/>
                <w:szCs w:val="28"/>
              </w:rPr>
              <w:t>673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D347A">
              <w:rPr>
                <w:rFonts w:cstheme="minorHAnsi"/>
                <w:sz w:val="28"/>
                <w:szCs w:val="28"/>
              </w:rPr>
              <w:t>673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D347A" w:rsidRDefault="003D347A" w:rsidP="00970BF2">
            <w:pPr>
              <w:cnfStyle w:val="000000000000"/>
              <w:rPr>
                <w:sz w:val="28"/>
                <w:szCs w:val="28"/>
              </w:rPr>
            </w:pPr>
            <w:r w:rsidRPr="003D347A">
              <w:rPr>
                <w:sz w:val="28"/>
                <w:szCs w:val="28"/>
              </w:rPr>
              <w:t>Стойки и штативы для измерительных головок.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3D347A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2017-08-23T13:13:00Z</dcterms:created>
  <dcterms:modified xsi:type="dcterms:W3CDTF">2017-08-23T13:14:00Z</dcterms:modified>
</cp:coreProperties>
</file>