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5C3E39">
              <w:rPr>
                <w:rFonts w:cstheme="minorHAnsi"/>
                <w:sz w:val="28"/>
                <w:szCs w:val="28"/>
              </w:rPr>
              <w:t>669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5C3E39">
              <w:rPr>
                <w:rFonts w:cstheme="minorHAnsi"/>
                <w:sz w:val="28"/>
                <w:szCs w:val="28"/>
              </w:rPr>
              <w:t>669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5C3E39" w:rsidRDefault="005C3E39" w:rsidP="00970BF2">
            <w:pPr>
              <w:cnfStyle w:val="000000000000"/>
              <w:rPr>
                <w:sz w:val="28"/>
                <w:szCs w:val="28"/>
              </w:rPr>
            </w:pPr>
            <w:r w:rsidRPr="005C3E39">
              <w:rPr>
                <w:sz w:val="28"/>
                <w:szCs w:val="28"/>
              </w:rPr>
              <w:t>Единая система стандартов автоматизированных систем управления. Основные положения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970BF2" w:rsidRDefault="00970BF2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C3E3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2017-08-23T13:12:00Z</dcterms:created>
  <dcterms:modified xsi:type="dcterms:W3CDTF">2017-08-23T13:13:00Z</dcterms:modified>
</cp:coreProperties>
</file>