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970BF2">
              <w:rPr>
                <w:rFonts w:cstheme="minorHAnsi"/>
                <w:sz w:val="28"/>
                <w:szCs w:val="28"/>
              </w:rPr>
              <w:t>664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970BF2">
              <w:rPr>
                <w:rFonts w:cstheme="minorHAnsi"/>
                <w:sz w:val="28"/>
                <w:szCs w:val="28"/>
              </w:rPr>
              <w:t>664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70BF2" w:rsidRDefault="00970BF2" w:rsidP="00970BF2">
            <w:pPr>
              <w:cnfStyle w:val="000000000000"/>
              <w:rPr>
                <w:sz w:val="28"/>
                <w:szCs w:val="28"/>
              </w:rPr>
            </w:pPr>
            <w:r w:rsidRPr="00970BF2">
              <w:rPr>
                <w:sz w:val="28"/>
                <w:szCs w:val="28"/>
              </w:rPr>
              <w:t>Формат обмена стандартными справочными данными по составу и свойствам материалов. Структура записи на магнитной ленте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970BF2" w:rsidRDefault="00970BF2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2017-08-23T13:11:00Z</dcterms:created>
  <dcterms:modified xsi:type="dcterms:W3CDTF">2017-08-23T13:12:00Z</dcterms:modified>
</cp:coreProperties>
</file>